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4E8" w:rsidRPr="008A14E8" w:rsidRDefault="008A14E8" w:rsidP="008A14E8">
      <w:pPr>
        <w:spacing w:after="120" w:line="240" w:lineRule="auto"/>
        <w:rPr>
          <w:rFonts w:ascii="Arial" w:eastAsia="Times New Roman" w:hAnsi="Arial" w:cs="Times New Roman"/>
          <w:color w:val="000000"/>
          <w:sz w:val="24"/>
          <w:szCs w:val="24"/>
          <w:lang w:eastAsia="en-GB"/>
        </w:rPr>
      </w:pPr>
    </w:p>
    <w:tbl>
      <w:tblPr>
        <w:tblW w:w="0" w:type="auto"/>
        <w:tblInd w:w="108" w:type="dxa"/>
        <w:tblLayout w:type="fixed"/>
        <w:tblLook w:val="04A0" w:firstRow="1" w:lastRow="0" w:firstColumn="1" w:lastColumn="0" w:noHBand="0" w:noVBand="1"/>
      </w:tblPr>
      <w:tblGrid>
        <w:gridCol w:w="2438"/>
        <w:gridCol w:w="6406"/>
      </w:tblGrid>
      <w:tr w:rsidR="008A14E8" w:rsidRPr="008A14E8" w:rsidTr="00510224">
        <w:tc>
          <w:tcPr>
            <w:tcW w:w="2438" w:type="dxa"/>
            <w:shd w:val="clear" w:color="auto" w:fill="auto"/>
          </w:tcPr>
          <w:p w:rsidR="008A14E8" w:rsidRPr="008A14E8" w:rsidRDefault="008A14E8" w:rsidP="008A14E8">
            <w:pPr>
              <w:spacing w:after="120" w:line="240" w:lineRule="auto"/>
              <w:rPr>
                <w:rFonts w:ascii="Arial" w:eastAsia="Times New Roman" w:hAnsi="Arial" w:cs="Times New Roman"/>
                <w:b/>
                <w:color w:val="000000"/>
                <w:sz w:val="24"/>
                <w:szCs w:val="24"/>
                <w:lang w:eastAsia="en-GB"/>
              </w:rPr>
            </w:pPr>
            <w:r w:rsidRPr="008A14E8">
              <w:rPr>
                <w:rFonts w:ascii="Arial" w:eastAsia="Times New Roman" w:hAnsi="Arial" w:cs="Times New Roman"/>
                <w:b/>
                <w:color w:val="000000"/>
                <w:sz w:val="24"/>
                <w:szCs w:val="24"/>
                <w:lang w:eastAsia="en-GB"/>
              </w:rPr>
              <w:t>To:</w:t>
            </w:r>
          </w:p>
        </w:tc>
        <w:tc>
          <w:tcPr>
            <w:tcW w:w="6406" w:type="dxa"/>
            <w:shd w:val="clear" w:color="auto" w:fill="auto"/>
          </w:tcPr>
          <w:p w:rsidR="008A14E8" w:rsidRPr="008A14E8" w:rsidRDefault="008A14E8" w:rsidP="008A14E8">
            <w:pPr>
              <w:spacing w:after="120" w:line="240" w:lineRule="auto"/>
              <w:rPr>
                <w:rFonts w:ascii="Arial" w:eastAsia="Times New Roman" w:hAnsi="Arial" w:cs="Times New Roman"/>
                <w:b/>
                <w:color w:val="000000"/>
                <w:sz w:val="24"/>
                <w:szCs w:val="24"/>
                <w:lang w:eastAsia="en-GB"/>
              </w:rPr>
            </w:pPr>
            <w:r w:rsidRPr="008A14E8">
              <w:rPr>
                <w:rFonts w:ascii="Arial" w:eastAsia="Times New Roman" w:hAnsi="Arial" w:cs="Times New Roman"/>
                <w:b/>
                <w:bCs/>
                <w:color w:val="000000"/>
                <w:sz w:val="24"/>
                <w:szCs w:val="24"/>
                <w:lang w:eastAsia="en-GB"/>
              </w:rPr>
              <w:t>Standards Committee</w:t>
            </w:r>
          </w:p>
        </w:tc>
      </w:tr>
      <w:tr w:rsidR="008A14E8" w:rsidRPr="008A14E8" w:rsidTr="00510224">
        <w:tc>
          <w:tcPr>
            <w:tcW w:w="2438" w:type="dxa"/>
            <w:shd w:val="clear" w:color="auto" w:fill="auto"/>
          </w:tcPr>
          <w:p w:rsidR="008A14E8" w:rsidRPr="008A14E8" w:rsidRDefault="008A14E8" w:rsidP="008A14E8">
            <w:pPr>
              <w:spacing w:after="120" w:line="240" w:lineRule="auto"/>
              <w:rPr>
                <w:rFonts w:ascii="Arial" w:eastAsia="Times New Roman" w:hAnsi="Arial" w:cs="Times New Roman"/>
                <w:b/>
                <w:color w:val="000000"/>
                <w:sz w:val="24"/>
                <w:szCs w:val="24"/>
                <w:lang w:eastAsia="en-GB"/>
              </w:rPr>
            </w:pPr>
            <w:r w:rsidRPr="008A14E8">
              <w:rPr>
                <w:rFonts w:ascii="Arial" w:eastAsia="Times New Roman" w:hAnsi="Arial" w:cs="Times New Roman"/>
                <w:b/>
                <w:color w:val="000000"/>
                <w:sz w:val="24"/>
                <w:szCs w:val="24"/>
                <w:lang w:eastAsia="en-GB"/>
              </w:rPr>
              <w:t>Date:</w:t>
            </w:r>
          </w:p>
        </w:tc>
        <w:tc>
          <w:tcPr>
            <w:tcW w:w="6406" w:type="dxa"/>
            <w:shd w:val="clear" w:color="auto" w:fill="auto"/>
          </w:tcPr>
          <w:p w:rsidR="008A14E8" w:rsidRPr="008A14E8" w:rsidRDefault="008A14E8" w:rsidP="008A14E8">
            <w:pPr>
              <w:spacing w:after="120" w:line="240" w:lineRule="auto"/>
              <w:rPr>
                <w:rFonts w:ascii="Arial" w:eastAsia="Times New Roman" w:hAnsi="Arial" w:cs="Times New Roman"/>
                <w:b/>
                <w:color w:val="000000"/>
                <w:sz w:val="24"/>
                <w:szCs w:val="24"/>
                <w:lang w:eastAsia="en-GB"/>
              </w:rPr>
            </w:pPr>
            <w:r w:rsidRPr="008A14E8">
              <w:rPr>
                <w:rFonts w:ascii="Arial" w:eastAsia="Times New Roman" w:hAnsi="Arial" w:cs="Times New Roman"/>
                <w:b/>
                <w:sz w:val="24"/>
                <w:szCs w:val="24"/>
                <w:lang w:eastAsia="en-GB"/>
              </w:rPr>
              <w:t>25 February 2019</w:t>
            </w:r>
          </w:p>
        </w:tc>
      </w:tr>
      <w:tr w:rsidR="008A14E8" w:rsidRPr="008A14E8" w:rsidTr="00510224">
        <w:tc>
          <w:tcPr>
            <w:tcW w:w="2438" w:type="dxa"/>
            <w:shd w:val="clear" w:color="auto" w:fill="auto"/>
          </w:tcPr>
          <w:p w:rsidR="008A14E8" w:rsidRPr="008A14E8" w:rsidRDefault="008A14E8" w:rsidP="008A14E8">
            <w:pPr>
              <w:spacing w:after="120" w:line="240" w:lineRule="auto"/>
              <w:rPr>
                <w:rFonts w:ascii="Arial" w:eastAsia="Times New Roman" w:hAnsi="Arial" w:cs="Times New Roman"/>
                <w:b/>
                <w:color w:val="000000"/>
                <w:sz w:val="24"/>
                <w:szCs w:val="24"/>
                <w:lang w:eastAsia="en-GB"/>
              </w:rPr>
            </w:pPr>
            <w:r w:rsidRPr="008A14E8">
              <w:rPr>
                <w:rFonts w:ascii="Arial" w:eastAsia="Times New Roman" w:hAnsi="Arial" w:cs="Times New Roman"/>
                <w:b/>
                <w:color w:val="000000"/>
                <w:sz w:val="24"/>
                <w:szCs w:val="24"/>
                <w:lang w:eastAsia="en-GB"/>
              </w:rPr>
              <w:t>Report of:</w:t>
            </w:r>
          </w:p>
        </w:tc>
        <w:tc>
          <w:tcPr>
            <w:tcW w:w="6406" w:type="dxa"/>
            <w:shd w:val="clear" w:color="auto" w:fill="auto"/>
          </w:tcPr>
          <w:p w:rsidR="008A14E8" w:rsidRPr="008A14E8" w:rsidRDefault="008A14E8" w:rsidP="00DA4DC1">
            <w:pPr>
              <w:spacing w:after="120" w:line="240" w:lineRule="auto"/>
              <w:rPr>
                <w:rFonts w:ascii="Arial" w:eastAsia="Times New Roman" w:hAnsi="Arial" w:cs="Times New Roman"/>
                <w:b/>
                <w:color w:val="000000"/>
                <w:sz w:val="24"/>
                <w:szCs w:val="24"/>
                <w:lang w:eastAsia="en-GB"/>
              </w:rPr>
            </w:pPr>
            <w:r w:rsidRPr="008A14E8">
              <w:rPr>
                <w:rFonts w:ascii="Arial" w:eastAsia="Times New Roman" w:hAnsi="Arial" w:cs="Times New Roman"/>
                <w:b/>
                <w:bCs/>
                <w:color w:val="000000"/>
                <w:sz w:val="24"/>
                <w:szCs w:val="24"/>
                <w:lang w:eastAsia="en-GB"/>
              </w:rPr>
              <w:t xml:space="preserve">Monitoring Officer </w:t>
            </w:r>
          </w:p>
        </w:tc>
      </w:tr>
      <w:tr w:rsidR="008A14E8" w:rsidRPr="008A14E8" w:rsidTr="00510224">
        <w:tc>
          <w:tcPr>
            <w:tcW w:w="2438" w:type="dxa"/>
            <w:shd w:val="clear" w:color="auto" w:fill="auto"/>
          </w:tcPr>
          <w:p w:rsidR="008A14E8" w:rsidRPr="008A14E8" w:rsidRDefault="008A14E8" w:rsidP="008A14E8">
            <w:pPr>
              <w:spacing w:after="120" w:line="240" w:lineRule="auto"/>
              <w:rPr>
                <w:rFonts w:ascii="Arial" w:eastAsia="Times New Roman" w:hAnsi="Arial" w:cs="Times New Roman"/>
                <w:b/>
                <w:color w:val="000000"/>
                <w:sz w:val="24"/>
                <w:szCs w:val="24"/>
                <w:lang w:eastAsia="en-GB"/>
              </w:rPr>
            </w:pPr>
            <w:r w:rsidRPr="008A14E8">
              <w:rPr>
                <w:rFonts w:ascii="Arial" w:eastAsia="Times New Roman" w:hAnsi="Arial" w:cs="Times New Roman"/>
                <w:b/>
                <w:color w:val="000000"/>
                <w:sz w:val="24"/>
                <w:szCs w:val="24"/>
                <w:lang w:eastAsia="en-GB"/>
              </w:rPr>
              <w:t xml:space="preserve">Title of Report: </w:t>
            </w:r>
          </w:p>
        </w:tc>
        <w:tc>
          <w:tcPr>
            <w:tcW w:w="6406" w:type="dxa"/>
            <w:shd w:val="clear" w:color="auto" w:fill="auto"/>
          </w:tcPr>
          <w:p w:rsidR="008A14E8" w:rsidRPr="008A14E8" w:rsidRDefault="008A14E8" w:rsidP="00F25C81">
            <w:pPr>
              <w:spacing w:after="0" w:line="240" w:lineRule="auto"/>
              <w:rPr>
                <w:rFonts w:ascii="Arial" w:eastAsia="Times New Roman" w:hAnsi="Arial" w:cs="Times New Roman"/>
                <w:b/>
                <w:color w:val="000000"/>
                <w:sz w:val="24"/>
                <w:szCs w:val="24"/>
                <w:lang w:eastAsia="en-GB"/>
              </w:rPr>
            </w:pPr>
            <w:r w:rsidRPr="008A14E8">
              <w:rPr>
                <w:rFonts w:ascii="Arial" w:eastAsia="Times New Roman" w:hAnsi="Arial" w:cs="Times New Roman"/>
                <w:b/>
                <w:color w:val="000000"/>
                <w:sz w:val="24"/>
                <w:szCs w:val="24"/>
                <w:lang w:eastAsia="en-GB"/>
              </w:rPr>
              <w:t xml:space="preserve">Code of Conduct: </w:t>
            </w:r>
            <w:r w:rsidR="00144E90">
              <w:rPr>
                <w:rFonts w:ascii="Arial" w:eastAsia="Times New Roman" w:hAnsi="Arial" w:cs="Times New Roman"/>
                <w:b/>
                <w:color w:val="000000"/>
                <w:sz w:val="24"/>
                <w:szCs w:val="24"/>
                <w:lang w:eastAsia="en-GB"/>
              </w:rPr>
              <w:t>“C</w:t>
            </w:r>
            <w:r w:rsidR="00144E90" w:rsidRPr="008A14E8">
              <w:rPr>
                <w:rFonts w:ascii="Arial" w:eastAsia="Times New Roman" w:hAnsi="Arial" w:cs="Times New Roman"/>
                <w:b/>
                <w:color w:val="000000"/>
                <w:sz w:val="24"/>
                <w:szCs w:val="24"/>
                <w:lang w:eastAsia="en-GB"/>
              </w:rPr>
              <w:t xml:space="preserve">omplaints </w:t>
            </w:r>
            <w:r w:rsidR="00144E90">
              <w:rPr>
                <w:rFonts w:ascii="Arial" w:eastAsia="Times New Roman" w:hAnsi="Arial" w:cs="Times New Roman"/>
                <w:b/>
                <w:color w:val="000000"/>
                <w:sz w:val="24"/>
                <w:szCs w:val="24"/>
                <w:lang w:eastAsia="en-GB"/>
              </w:rPr>
              <w:t>H</w:t>
            </w:r>
            <w:r w:rsidR="00144E90" w:rsidRPr="008A14E8">
              <w:rPr>
                <w:rFonts w:ascii="Arial" w:eastAsia="Times New Roman" w:hAnsi="Arial" w:cs="Times New Roman"/>
                <w:b/>
                <w:color w:val="000000"/>
                <w:sz w:val="24"/>
                <w:szCs w:val="24"/>
                <w:lang w:eastAsia="en-GB"/>
              </w:rPr>
              <w:t xml:space="preserve">andling </w:t>
            </w:r>
            <w:r w:rsidR="00144E90">
              <w:rPr>
                <w:rFonts w:ascii="Arial" w:eastAsia="Times New Roman" w:hAnsi="Arial" w:cs="Times New Roman"/>
                <w:b/>
                <w:color w:val="000000"/>
                <w:sz w:val="24"/>
                <w:szCs w:val="24"/>
                <w:lang w:eastAsia="en-GB"/>
              </w:rPr>
              <w:t xml:space="preserve">Arrangements” </w:t>
            </w:r>
            <w:r w:rsidR="00F25C81">
              <w:rPr>
                <w:rFonts w:ascii="Arial" w:eastAsia="Times New Roman" w:hAnsi="Arial" w:cs="Times New Roman"/>
                <w:b/>
                <w:color w:val="000000"/>
                <w:sz w:val="24"/>
                <w:szCs w:val="24"/>
                <w:lang w:eastAsia="en-GB"/>
              </w:rPr>
              <w:t xml:space="preserve">and </w:t>
            </w:r>
            <w:r w:rsidR="00F25C81" w:rsidRPr="008A14E8">
              <w:rPr>
                <w:rFonts w:ascii="Arial" w:eastAsia="Times New Roman" w:hAnsi="Arial" w:cs="Times New Roman"/>
                <w:b/>
                <w:color w:val="000000"/>
                <w:sz w:val="24"/>
                <w:szCs w:val="24"/>
                <w:lang w:eastAsia="en-GB"/>
              </w:rPr>
              <w:t>Assessment criteria</w:t>
            </w:r>
            <w:r w:rsidR="00144E90" w:rsidRPr="008A14E8">
              <w:rPr>
                <w:rFonts w:ascii="Arial" w:eastAsia="Times New Roman" w:hAnsi="Arial" w:cs="Times New Roman"/>
                <w:b/>
                <w:color w:val="000000"/>
                <w:sz w:val="24"/>
                <w:szCs w:val="24"/>
                <w:lang w:eastAsia="en-GB"/>
              </w:rPr>
              <w:t>.</w:t>
            </w:r>
          </w:p>
        </w:tc>
      </w:tr>
    </w:tbl>
    <w:p w:rsidR="008A14E8" w:rsidRPr="008A14E8" w:rsidRDefault="008A14E8" w:rsidP="008A14E8">
      <w:pPr>
        <w:spacing w:after="120" w:line="240" w:lineRule="auto"/>
        <w:rPr>
          <w:rFonts w:ascii="Arial" w:eastAsia="Times New Roman" w:hAnsi="Arial" w:cs="Times New Roman"/>
          <w:color w:val="000000"/>
          <w:sz w:val="24"/>
          <w:szCs w:val="24"/>
          <w:lang w:eastAsia="en-GB"/>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985"/>
        <w:gridCol w:w="594"/>
        <w:gridCol w:w="6407"/>
      </w:tblGrid>
      <w:tr w:rsidR="008A14E8" w:rsidRPr="008A14E8" w:rsidTr="00DA4DC1">
        <w:tc>
          <w:tcPr>
            <w:tcW w:w="8986" w:type="dxa"/>
            <w:gridSpan w:val="3"/>
            <w:tcBorders>
              <w:bottom w:val="single" w:sz="8" w:space="0" w:color="000000"/>
            </w:tcBorders>
            <w:hideMark/>
          </w:tcPr>
          <w:p w:rsidR="008A14E8" w:rsidRPr="008A14E8" w:rsidRDefault="008A14E8" w:rsidP="008A14E8">
            <w:pPr>
              <w:spacing w:after="120" w:line="240" w:lineRule="auto"/>
              <w:jc w:val="center"/>
              <w:rPr>
                <w:rFonts w:ascii="Arial" w:eastAsia="Times New Roman" w:hAnsi="Arial" w:cs="Times New Roman"/>
                <w:b/>
                <w:color w:val="000000"/>
                <w:sz w:val="24"/>
                <w:szCs w:val="24"/>
                <w:lang w:eastAsia="en-GB"/>
              </w:rPr>
            </w:pPr>
            <w:r w:rsidRPr="008A14E8">
              <w:rPr>
                <w:rFonts w:ascii="Arial" w:eastAsia="Times New Roman" w:hAnsi="Arial" w:cs="Times New Roman"/>
                <w:b/>
                <w:color w:val="000000"/>
                <w:sz w:val="24"/>
                <w:szCs w:val="24"/>
                <w:lang w:eastAsia="en-GB"/>
              </w:rPr>
              <w:t>Summary and recommendations</w:t>
            </w:r>
          </w:p>
        </w:tc>
      </w:tr>
      <w:tr w:rsidR="008A14E8" w:rsidRPr="008A14E8" w:rsidTr="00DA4DC1">
        <w:tc>
          <w:tcPr>
            <w:tcW w:w="2579" w:type="dxa"/>
            <w:gridSpan w:val="2"/>
            <w:tcBorders>
              <w:top w:val="single" w:sz="8" w:space="0" w:color="000000"/>
              <w:left w:val="single" w:sz="8" w:space="0" w:color="000000"/>
              <w:bottom w:val="nil"/>
              <w:right w:val="nil"/>
            </w:tcBorders>
            <w:hideMark/>
          </w:tcPr>
          <w:p w:rsidR="008A14E8" w:rsidRPr="008A14E8" w:rsidRDefault="008A14E8" w:rsidP="008A14E8">
            <w:pPr>
              <w:spacing w:after="120" w:line="240" w:lineRule="auto"/>
              <w:rPr>
                <w:rFonts w:ascii="Arial" w:eastAsia="Times New Roman" w:hAnsi="Arial" w:cs="Times New Roman"/>
                <w:b/>
                <w:color w:val="000000"/>
                <w:sz w:val="24"/>
                <w:szCs w:val="24"/>
                <w:lang w:eastAsia="en-GB"/>
              </w:rPr>
            </w:pPr>
            <w:r w:rsidRPr="008A14E8">
              <w:rPr>
                <w:rFonts w:ascii="Arial" w:eastAsia="Times New Roman" w:hAnsi="Arial" w:cs="Times New Roman"/>
                <w:b/>
                <w:color w:val="000000"/>
                <w:sz w:val="24"/>
                <w:szCs w:val="24"/>
                <w:lang w:eastAsia="en-GB"/>
              </w:rPr>
              <w:t>Purpose of report:</w:t>
            </w:r>
          </w:p>
        </w:tc>
        <w:tc>
          <w:tcPr>
            <w:tcW w:w="6407" w:type="dxa"/>
            <w:tcBorders>
              <w:top w:val="single" w:sz="8" w:space="0" w:color="000000"/>
              <w:left w:val="nil"/>
              <w:bottom w:val="nil"/>
              <w:right w:val="single" w:sz="8" w:space="0" w:color="000000"/>
            </w:tcBorders>
            <w:hideMark/>
          </w:tcPr>
          <w:p w:rsidR="008A14E8" w:rsidRPr="008A14E8" w:rsidRDefault="008A14E8" w:rsidP="00F25C81">
            <w:pPr>
              <w:spacing w:after="120" w:line="240" w:lineRule="auto"/>
              <w:rPr>
                <w:rFonts w:ascii="Arial" w:eastAsia="Times New Roman" w:hAnsi="Arial" w:cs="Times New Roman"/>
                <w:b/>
                <w:color w:val="000000"/>
                <w:sz w:val="24"/>
                <w:szCs w:val="24"/>
                <w:lang w:eastAsia="en-GB"/>
              </w:rPr>
            </w:pPr>
            <w:r w:rsidRPr="008A14E8">
              <w:rPr>
                <w:rFonts w:ascii="Arial" w:eastAsia="Times New Roman" w:hAnsi="Arial" w:cs="Times New Roman"/>
                <w:b/>
                <w:color w:val="000000"/>
                <w:sz w:val="24"/>
                <w:szCs w:val="24"/>
                <w:lang w:eastAsia="en-GB"/>
              </w:rPr>
              <w:t xml:space="preserve">To advise the Committee of the proposed </w:t>
            </w:r>
            <w:r w:rsidR="00F25C81" w:rsidRPr="008A14E8">
              <w:rPr>
                <w:rFonts w:ascii="Arial" w:eastAsia="Times New Roman" w:hAnsi="Arial" w:cs="Times New Roman"/>
                <w:b/>
                <w:color w:val="000000"/>
                <w:sz w:val="24"/>
                <w:szCs w:val="24"/>
                <w:lang w:eastAsia="en-GB"/>
              </w:rPr>
              <w:t xml:space="preserve">changes to the </w:t>
            </w:r>
            <w:r w:rsidR="00F25C81">
              <w:rPr>
                <w:rFonts w:ascii="Arial" w:eastAsia="Times New Roman" w:hAnsi="Arial" w:cs="Times New Roman"/>
                <w:b/>
                <w:color w:val="000000"/>
                <w:sz w:val="24"/>
                <w:szCs w:val="24"/>
                <w:lang w:eastAsia="en-GB"/>
              </w:rPr>
              <w:t>“C</w:t>
            </w:r>
            <w:r w:rsidR="00F25C81" w:rsidRPr="008A14E8">
              <w:rPr>
                <w:rFonts w:ascii="Arial" w:eastAsia="Times New Roman" w:hAnsi="Arial" w:cs="Times New Roman"/>
                <w:b/>
                <w:color w:val="000000"/>
                <w:sz w:val="24"/>
                <w:szCs w:val="24"/>
                <w:lang w:eastAsia="en-GB"/>
              </w:rPr>
              <w:t xml:space="preserve">omplaints </w:t>
            </w:r>
            <w:r w:rsidR="00F25C81">
              <w:rPr>
                <w:rFonts w:ascii="Arial" w:eastAsia="Times New Roman" w:hAnsi="Arial" w:cs="Times New Roman"/>
                <w:b/>
                <w:color w:val="000000"/>
                <w:sz w:val="24"/>
                <w:szCs w:val="24"/>
                <w:lang w:eastAsia="en-GB"/>
              </w:rPr>
              <w:t>H</w:t>
            </w:r>
            <w:r w:rsidR="00F25C81" w:rsidRPr="008A14E8">
              <w:rPr>
                <w:rFonts w:ascii="Arial" w:eastAsia="Times New Roman" w:hAnsi="Arial" w:cs="Times New Roman"/>
                <w:b/>
                <w:color w:val="000000"/>
                <w:sz w:val="24"/>
                <w:szCs w:val="24"/>
                <w:lang w:eastAsia="en-GB"/>
              </w:rPr>
              <w:t xml:space="preserve">andling </w:t>
            </w:r>
            <w:r w:rsidR="00F25C81">
              <w:rPr>
                <w:rFonts w:ascii="Arial" w:eastAsia="Times New Roman" w:hAnsi="Arial" w:cs="Times New Roman"/>
                <w:b/>
                <w:color w:val="000000"/>
                <w:sz w:val="24"/>
                <w:szCs w:val="24"/>
                <w:lang w:eastAsia="en-GB"/>
              </w:rPr>
              <w:t>Arrangements” documentation</w:t>
            </w:r>
            <w:r w:rsidR="00F25C81" w:rsidRPr="008A14E8">
              <w:rPr>
                <w:rFonts w:ascii="Arial" w:eastAsia="Times New Roman" w:hAnsi="Arial" w:cs="Times New Roman"/>
                <w:b/>
                <w:color w:val="000000"/>
                <w:sz w:val="24"/>
                <w:szCs w:val="24"/>
                <w:lang w:eastAsia="en-GB"/>
              </w:rPr>
              <w:t xml:space="preserve"> </w:t>
            </w:r>
            <w:r w:rsidR="00F25C81">
              <w:rPr>
                <w:rFonts w:ascii="Arial" w:eastAsia="Times New Roman" w:hAnsi="Arial" w:cs="Times New Roman"/>
                <w:b/>
                <w:color w:val="000000"/>
                <w:sz w:val="24"/>
                <w:szCs w:val="24"/>
                <w:lang w:eastAsia="en-GB"/>
              </w:rPr>
              <w:t xml:space="preserve">and the </w:t>
            </w:r>
            <w:r w:rsidRPr="008A14E8">
              <w:rPr>
                <w:rFonts w:ascii="Arial" w:eastAsia="Times New Roman" w:hAnsi="Arial" w:cs="Times New Roman"/>
                <w:b/>
                <w:color w:val="000000"/>
                <w:sz w:val="24"/>
                <w:szCs w:val="24"/>
                <w:lang w:eastAsia="en-GB"/>
              </w:rPr>
              <w:t>introduction of formal assessment criteria</w:t>
            </w:r>
            <w:r w:rsidR="00F25C81">
              <w:rPr>
                <w:rFonts w:ascii="Arial" w:eastAsia="Times New Roman" w:hAnsi="Arial" w:cs="Times New Roman"/>
                <w:b/>
                <w:color w:val="000000"/>
                <w:sz w:val="24"/>
                <w:szCs w:val="24"/>
                <w:lang w:eastAsia="en-GB"/>
              </w:rPr>
              <w:t>.</w:t>
            </w:r>
            <w:r w:rsidRPr="008A14E8">
              <w:rPr>
                <w:rFonts w:ascii="Arial" w:eastAsia="Times New Roman" w:hAnsi="Arial" w:cs="Times New Roman"/>
                <w:b/>
                <w:color w:val="000000"/>
                <w:sz w:val="24"/>
                <w:szCs w:val="24"/>
                <w:lang w:eastAsia="en-GB"/>
              </w:rPr>
              <w:t xml:space="preserve"> </w:t>
            </w:r>
          </w:p>
        </w:tc>
      </w:tr>
      <w:tr w:rsidR="008A14E8" w:rsidRPr="008A14E8" w:rsidTr="00DA4DC1">
        <w:tc>
          <w:tcPr>
            <w:tcW w:w="2579" w:type="dxa"/>
            <w:gridSpan w:val="2"/>
            <w:tcBorders>
              <w:top w:val="nil"/>
              <w:left w:val="single" w:sz="8" w:space="0" w:color="000000"/>
              <w:bottom w:val="nil"/>
              <w:right w:val="nil"/>
            </w:tcBorders>
            <w:hideMark/>
          </w:tcPr>
          <w:p w:rsidR="008A14E8" w:rsidRPr="008A14E8" w:rsidRDefault="008A14E8" w:rsidP="008A14E8">
            <w:pPr>
              <w:spacing w:after="120" w:line="240" w:lineRule="auto"/>
              <w:rPr>
                <w:rFonts w:ascii="Arial" w:eastAsia="Times New Roman" w:hAnsi="Arial" w:cs="Times New Roman"/>
                <w:b/>
                <w:color w:val="000000"/>
                <w:sz w:val="24"/>
                <w:szCs w:val="24"/>
                <w:lang w:eastAsia="en-GB"/>
              </w:rPr>
            </w:pPr>
            <w:r w:rsidRPr="008A14E8">
              <w:rPr>
                <w:rFonts w:ascii="Arial" w:eastAsia="Times New Roman" w:hAnsi="Arial" w:cs="Times New Roman"/>
                <w:b/>
                <w:color w:val="000000"/>
                <w:sz w:val="24"/>
                <w:szCs w:val="24"/>
                <w:lang w:eastAsia="en-GB"/>
              </w:rPr>
              <w:t>Key decision:</w:t>
            </w:r>
          </w:p>
        </w:tc>
        <w:tc>
          <w:tcPr>
            <w:tcW w:w="6407" w:type="dxa"/>
            <w:tcBorders>
              <w:top w:val="nil"/>
              <w:left w:val="nil"/>
              <w:bottom w:val="nil"/>
              <w:right w:val="single" w:sz="8" w:space="0" w:color="000000"/>
            </w:tcBorders>
            <w:hideMark/>
          </w:tcPr>
          <w:p w:rsidR="008A14E8" w:rsidRPr="008A14E8" w:rsidRDefault="008A14E8" w:rsidP="008A14E8">
            <w:pPr>
              <w:spacing w:after="120" w:line="240" w:lineRule="auto"/>
              <w:rPr>
                <w:rFonts w:ascii="Arial" w:eastAsia="Times New Roman" w:hAnsi="Arial" w:cs="Times New Roman"/>
                <w:color w:val="000000"/>
                <w:sz w:val="24"/>
                <w:szCs w:val="24"/>
                <w:lang w:eastAsia="en-GB"/>
              </w:rPr>
            </w:pPr>
            <w:r w:rsidRPr="008A14E8">
              <w:rPr>
                <w:rFonts w:ascii="Arial" w:eastAsia="Times New Roman" w:hAnsi="Arial" w:cs="Times New Roman"/>
                <w:color w:val="000000"/>
                <w:sz w:val="24"/>
                <w:szCs w:val="24"/>
                <w:lang w:eastAsia="en-GB"/>
              </w:rPr>
              <w:t>No</w:t>
            </w:r>
          </w:p>
        </w:tc>
      </w:tr>
      <w:tr w:rsidR="008A14E8" w:rsidRPr="008A14E8" w:rsidTr="00DA4DC1">
        <w:trPr>
          <w:trHeight w:val="413"/>
        </w:trPr>
        <w:tc>
          <w:tcPr>
            <w:tcW w:w="8986" w:type="dxa"/>
            <w:gridSpan w:val="3"/>
          </w:tcPr>
          <w:p w:rsidR="008A14E8" w:rsidRPr="008A14E8" w:rsidRDefault="008A14E8" w:rsidP="008A14E8">
            <w:pPr>
              <w:spacing w:after="120" w:line="240" w:lineRule="auto"/>
              <w:rPr>
                <w:rFonts w:ascii="Arial" w:eastAsia="Times New Roman" w:hAnsi="Arial" w:cs="Times New Roman"/>
                <w:b/>
                <w:color w:val="000000"/>
                <w:sz w:val="24"/>
                <w:szCs w:val="24"/>
                <w:lang w:eastAsia="en-GB"/>
              </w:rPr>
            </w:pPr>
            <w:r w:rsidRPr="008A14E8">
              <w:rPr>
                <w:rFonts w:ascii="Arial" w:eastAsia="Times New Roman" w:hAnsi="Arial" w:cs="Times New Roman"/>
                <w:b/>
                <w:color w:val="000000"/>
                <w:sz w:val="24"/>
                <w:szCs w:val="24"/>
                <w:lang w:eastAsia="en-GB"/>
              </w:rPr>
              <w:t xml:space="preserve">Recommendation: </w:t>
            </w:r>
          </w:p>
          <w:p w:rsidR="008A14E8" w:rsidRPr="008A14E8" w:rsidRDefault="008A14E8" w:rsidP="00724BB3">
            <w:pPr>
              <w:spacing w:after="120" w:line="240" w:lineRule="auto"/>
              <w:rPr>
                <w:rFonts w:ascii="Arial" w:eastAsia="Times New Roman" w:hAnsi="Arial" w:cs="Times New Roman"/>
                <w:b/>
                <w:i/>
                <w:color w:val="FF0000"/>
                <w:sz w:val="24"/>
                <w:szCs w:val="24"/>
                <w:lang w:eastAsia="en-GB"/>
              </w:rPr>
            </w:pPr>
            <w:r w:rsidRPr="00F25C81">
              <w:rPr>
                <w:rFonts w:ascii="Arial" w:eastAsia="Times New Roman" w:hAnsi="Arial" w:cs="Times New Roman"/>
                <w:b/>
                <w:sz w:val="24"/>
                <w:szCs w:val="24"/>
                <w:lang w:eastAsia="en-GB"/>
              </w:rPr>
              <w:t xml:space="preserve">That the Standards Committee recommends </w:t>
            </w:r>
            <w:bookmarkStart w:id="0" w:name="_GoBack"/>
            <w:bookmarkEnd w:id="0"/>
            <w:r w:rsidRPr="00F25C81">
              <w:rPr>
                <w:rFonts w:ascii="Arial" w:eastAsia="Times New Roman" w:hAnsi="Arial" w:cs="Times New Roman"/>
                <w:b/>
                <w:sz w:val="24"/>
                <w:szCs w:val="24"/>
                <w:lang w:eastAsia="en-GB"/>
              </w:rPr>
              <w:t>Council to:</w:t>
            </w:r>
          </w:p>
        </w:tc>
      </w:tr>
      <w:tr w:rsidR="008E6311" w:rsidRPr="008A14E8" w:rsidTr="00DA4DC1">
        <w:trPr>
          <w:trHeight w:val="413"/>
        </w:trPr>
        <w:tc>
          <w:tcPr>
            <w:tcW w:w="8986" w:type="dxa"/>
            <w:gridSpan w:val="3"/>
          </w:tcPr>
          <w:p w:rsidR="008E6311" w:rsidRPr="00F25C81" w:rsidRDefault="00F25C81" w:rsidP="00F25C81">
            <w:pPr>
              <w:pStyle w:val="ListParagraph"/>
              <w:numPr>
                <w:ilvl w:val="0"/>
                <w:numId w:val="17"/>
              </w:numPr>
              <w:spacing w:after="0"/>
              <w:rPr>
                <w:rFonts w:ascii="Arial" w:eastAsia="Times New Roman" w:hAnsi="Arial" w:cs="Times New Roman"/>
                <w:sz w:val="24"/>
                <w:szCs w:val="24"/>
                <w:lang w:eastAsia="en-GB"/>
              </w:rPr>
            </w:pPr>
            <w:r w:rsidRPr="00F25C81">
              <w:rPr>
                <w:rFonts w:ascii="Arial" w:eastAsia="Times New Roman" w:hAnsi="Arial" w:cs="Times New Roman"/>
                <w:b/>
                <w:sz w:val="24"/>
                <w:szCs w:val="24"/>
                <w:lang w:eastAsia="en-GB"/>
              </w:rPr>
              <w:t>Approve</w:t>
            </w:r>
            <w:r w:rsidRPr="00F25C81">
              <w:rPr>
                <w:rFonts w:ascii="Arial" w:eastAsia="Times New Roman" w:hAnsi="Arial" w:cs="Times New Roman"/>
                <w:sz w:val="24"/>
                <w:szCs w:val="24"/>
                <w:lang w:eastAsia="en-GB"/>
              </w:rPr>
              <w:t xml:space="preserve"> the </w:t>
            </w:r>
            <w:r w:rsidRPr="00F25C81">
              <w:rPr>
                <w:rFonts w:ascii="Arial" w:eastAsia="Times New Roman" w:hAnsi="Arial" w:cs="Times New Roman"/>
                <w:color w:val="000000"/>
                <w:sz w:val="24"/>
                <w:szCs w:val="24"/>
                <w:lang w:eastAsia="en-GB"/>
              </w:rPr>
              <w:t xml:space="preserve">proposed changes to the “Complaints Handling Arrangements” documentation as detailed in the report; </w:t>
            </w:r>
          </w:p>
        </w:tc>
      </w:tr>
      <w:tr w:rsidR="008E6311" w:rsidRPr="008A14E8" w:rsidTr="00DA4DC1">
        <w:trPr>
          <w:trHeight w:val="413"/>
        </w:trPr>
        <w:tc>
          <w:tcPr>
            <w:tcW w:w="8986" w:type="dxa"/>
            <w:gridSpan w:val="3"/>
          </w:tcPr>
          <w:p w:rsidR="008E6311" w:rsidRPr="00F25C81" w:rsidRDefault="008E6311" w:rsidP="0091680C">
            <w:pPr>
              <w:pStyle w:val="ListParagraph"/>
              <w:numPr>
                <w:ilvl w:val="0"/>
                <w:numId w:val="17"/>
              </w:numPr>
              <w:spacing w:after="120" w:line="240" w:lineRule="auto"/>
              <w:rPr>
                <w:rFonts w:ascii="Arial" w:eastAsia="Times New Roman" w:hAnsi="Arial" w:cs="Times New Roman"/>
                <w:sz w:val="24"/>
                <w:szCs w:val="24"/>
                <w:lang w:eastAsia="en-GB"/>
              </w:rPr>
            </w:pPr>
            <w:r w:rsidRPr="00F25C81">
              <w:rPr>
                <w:rFonts w:ascii="Arial" w:eastAsia="Times New Roman" w:hAnsi="Arial" w:cs="Times New Roman"/>
                <w:b/>
                <w:sz w:val="24"/>
                <w:szCs w:val="24"/>
                <w:lang w:eastAsia="en-GB"/>
              </w:rPr>
              <w:t>Delegate authority to the Monitoring Officer</w:t>
            </w:r>
            <w:r w:rsidRPr="00F25C81">
              <w:rPr>
                <w:rFonts w:ascii="Arial" w:eastAsia="Times New Roman" w:hAnsi="Arial" w:cs="Times New Roman"/>
                <w:sz w:val="24"/>
                <w:szCs w:val="24"/>
                <w:lang w:eastAsia="en-GB"/>
              </w:rPr>
              <w:t xml:space="preserve"> to amend and agree the final text and design of the </w:t>
            </w:r>
            <w:r w:rsidR="00F25C81" w:rsidRPr="00F25C81">
              <w:rPr>
                <w:rFonts w:ascii="Arial" w:eastAsia="Times New Roman" w:hAnsi="Arial" w:cs="Times New Roman"/>
                <w:sz w:val="24"/>
                <w:szCs w:val="24"/>
                <w:lang w:eastAsia="en-GB"/>
              </w:rPr>
              <w:t xml:space="preserve">draft </w:t>
            </w:r>
            <w:r w:rsidRPr="00F25C81">
              <w:rPr>
                <w:rFonts w:ascii="Arial" w:eastAsia="Times New Roman" w:hAnsi="Arial" w:cs="Times New Roman"/>
                <w:sz w:val="24"/>
                <w:szCs w:val="24"/>
                <w:lang w:eastAsia="en-GB"/>
              </w:rPr>
              <w:t>“</w:t>
            </w:r>
            <w:r w:rsidR="00DA4DC1">
              <w:rPr>
                <w:rFonts w:ascii="Arial" w:eastAsia="Times New Roman" w:hAnsi="Arial" w:cs="Times New Roman"/>
                <w:sz w:val="24"/>
                <w:szCs w:val="24"/>
                <w:lang w:eastAsia="en-GB"/>
              </w:rPr>
              <w:t xml:space="preserve">Arrangements for dealing with code of conduct complaints against councillors </w:t>
            </w:r>
            <w:r w:rsidRPr="00F25C81">
              <w:rPr>
                <w:rFonts w:ascii="Arial" w:eastAsia="Times New Roman" w:hAnsi="Arial" w:cs="Times New Roman"/>
                <w:sz w:val="24"/>
                <w:szCs w:val="24"/>
                <w:lang w:eastAsia="en-GB"/>
              </w:rPr>
              <w:t>” documentation</w:t>
            </w:r>
            <w:r w:rsidR="00F25C81" w:rsidRPr="00F25C81">
              <w:rPr>
                <w:rFonts w:ascii="Arial" w:eastAsia="Times New Roman" w:hAnsi="Arial" w:cs="Times New Roman"/>
                <w:sz w:val="24"/>
                <w:szCs w:val="24"/>
                <w:lang w:eastAsia="en-GB"/>
              </w:rPr>
              <w:t xml:space="preserve"> (as set out in </w:t>
            </w:r>
            <w:r w:rsidR="00DA4DC1">
              <w:rPr>
                <w:rFonts w:ascii="Arial" w:eastAsia="Times New Roman" w:hAnsi="Arial" w:cs="Times New Roman"/>
                <w:sz w:val="24"/>
                <w:szCs w:val="24"/>
                <w:lang w:eastAsia="en-GB"/>
              </w:rPr>
              <w:t>A</w:t>
            </w:r>
            <w:r w:rsidR="0091680C">
              <w:rPr>
                <w:rFonts w:ascii="Arial" w:eastAsia="Times New Roman" w:hAnsi="Arial" w:cs="Times New Roman"/>
                <w:sz w:val="24"/>
                <w:szCs w:val="24"/>
                <w:lang w:eastAsia="en-GB"/>
              </w:rPr>
              <w:t>ppendix</w:t>
            </w:r>
            <w:r w:rsidR="00F25C81" w:rsidRPr="00F25C81">
              <w:rPr>
                <w:rFonts w:ascii="Arial" w:eastAsia="Times New Roman" w:hAnsi="Arial" w:cs="Times New Roman"/>
                <w:sz w:val="24"/>
                <w:szCs w:val="24"/>
                <w:lang w:eastAsia="en-GB"/>
              </w:rPr>
              <w:t xml:space="preserve"> 2); and </w:t>
            </w:r>
          </w:p>
        </w:tc>
      </w:tr>
      <w:tr w:rsidR="001E13FB" w:rsidRPr="008A14E8" w:rsidTr="00DA4DC1">
        <w:trPr>
          <w:trHeight w:val="413"/>
        </w:trPr>
        <w:tc>
          <w:tcPr>
            <w:tcW w:w="8986" w:type="dxa"/>
            <w:gridSpan w:val="3"/>
          </w:tcPr>
          <w:p w:rsidR="001E13FB" w:rsidRPr="00F25C81" w:rsidRDefault="001E13FB" w:rsidP="0091680C">
            <w:pPr>
              <w:pStyle w:val="ListParagraph"/>
              <w:numPr>
                <w:ilvl w:val="0"/>
                <w:numId w:val="17"/>
              </w:numPr>
              <w:spacing w:after="120" w:line="240" w:lineRule="auto"/>
              <w:rPr>
                <w:rFonts w:ascii="Arial" w:eastAsia="Times New Roman" w:hAnsi="Arial" w:cs="Times New Roman"/>
                <w:sz w:val="24"/>
                <w:szCs w:val="24"/>
                <w:lang w:eastAsia="en-GB"/>
              </w:rPr>
            </w:pPr>
            <w:r w:rsidRPr="004D66F3">
              <w:rPr>
                <w:rFonts w:ascii="Arial" w:eastAsia="Times New Roman" w:hAnsi="Arial" w:cs="Times New Roman"/>
                <w:b/>
                <w:sz w:val="24"/>
                <w:szCs w:val="24"/>
                <w:lang w:eastAsia="en-GB"/>
              </w:rPr>
              <w:t xml:space="preserve">Approve </w:t>
            </w:r>
            <w:r w:rsidRPr="004D66F3">
              <w:rPr>
                <w:rFonts w:ascii="Arial" w:eastAsia="Times New Roman" w:hAnsi="Arial" w:cs="Times New Roman"/>
                <w:sz w:val="24"/>
                <w:szCs w:val="24"/>
                <w:lang w:eastAsia="en-GB"/>
              </w:rPr>
              <w:t>the proposed as</w:t>
            </w:r>
            <w:r w:rsidR="006B627D">
              <w:rPr>
                <w:rFonts w:ascii="Arial" w:eastAsia="Times New Roman" w:hAnsi="Arial" w:cs="Times New Roman"/>
                <w:sz w:val="24"/>
                <w:szCs w:val="24"/>
                <w:lang w:eastAsia="en-GB"/>
              </w:rPr>
              <w:t>sessment criteria (as set out in</w:t>
            </w:r>
            <w:r w:rsidRPr="004D66F3">
              <w:rPr>
                <w:rFonts w:ascii="Arial" w:eastAsia="Times New Roman" w:hAnsi="Arial" w:cs="Times New Roman"/>
                <w:sz w:val="24"/>
                <w:szCs w:val="24"/>
                <w:lang w:eastAsia="en-GB"/>
              </w:rPr>
              <w:t xml:space="preserve"> paragraph </w:t>
            </w:r>
            <w:r w:rsidR="0091680C">
              <w:rPr>
                <w:rFonts w:ascii="Arial" w:eastAsia="Times New Roman" w:hAnsi="Arial" w:cs="Times New Roman"/>
                <w:sz w:val="24"/>
                <w:szCs w:val="24"/>
                <w:lang w:eastAsia="en-GB"/>
              </w:rPr>
              <w:t>2</w:t>
            </w:r>
            <w:r w:rsidR="004D66F3" w:rsidRPr="004D66F3">
              <w:rPr>
                <w:rFonts w:ascii="Arial" w:eastAsia="Times New Roman" w:hAnsi="Arial" w:cs="Times New Roman"/>
                <w:sz w:val="24"/>
                <w:szCs w:val="24"/>
                <w:lang w:eastAsia="en-GB"/>
              </w:rPr>
              <w:t>3</w:t>
            </w:r>
            <w:r w:rsidRPr="004D66F3">
              <w:rPr>
                <w:rFonts w:ascii="Arial" w:eastAsia="Times New Roman" w:hAnsi="Arial" w:cs="Times New Roman"/>
                <w:sz w:val="24"/>
                <w:szCs w:val="24"/>
                <w:lang w:eastAsia="en-GB"/>
              </w:rPr>
              <w:t xml:space="preserve">) for </w:t>
            </w:r>
            <w:r w:rsidRPr="00F25C81">
              <w:rPr>
                <w:rFonts w:ascii="Arial" w:eastAsia="Times New Roman" w:hAnsi="Arial" w:cs="Times New Roman"/>
                <w:sz w:val="24"/>
                <w:szCs w:val="24"/>
                <w:lang w:eastAsia="en-GB"/>
              </w:rPr>
              <w:t>use by the Monitoring Officer, in consultation with the Independent Persons, in the consideration of Code of Conduct complaints</w:t>
            </w:r>
            <w:r w:rsidR="00F25C81" w:rsidRPr="00F25C81">
              <w:rPr>
                <w:rFonts w:ascii="Arial" w:eastAsia="Times New Roman" w:hAnsi="Arial" w:cs="Times New Roman"/>
                <w:sz w:val="24"/>
                <w:szCs w:val="24"/>
                <w:lang w:eastAsia="en-GB"/>
              </w:rPr>
              <w:t>.</w:t>
            </w:r>
          </w:p>
        </w:tc>
      </w:tr>
      <w:tr w:rsidR="00DA4DC1" w:rsidRPr="008A14E8" w:rsidTr="00DA4DC1">
        <w:trPr>
          <w:trHeight w:val="413"/>
        </w:trPr>
        <w:tc>
          <w:tcPr>
            <w:tcW w:w="8986" w:type="dxa"/>
            <w:gridSpan w:val="3"/>
          </w:tcPr>
          <w:p w:rsidR="00DA4DC1" w:rsidRPr="00DA4DC1" w:rsidRDefault="00DA4DC1" w:rsidP="00DA4DC1">
            <w:pPr>
              <w:spacing w:after="120" w:line="240" w:lineRule="auto"/>
              <w:ind w:left="360"/>
              <w:rPr>
                <w:rFonts w:ascii="Arial" w:eastAsia="Times New Roman" w:hAnsi="Arial" w:cs="Times New Roman"/>
                <w:b/>
                <w:sz w:val="24"/>
                <w:szCs w:val="24"/>
                <w:lang w:eastAsia="en-GB"/>
              </w:rPr>
            </w:pPr>
            <w:r>
              <w:rPr>
                <w:rFonts w:ascii="Arial" w:eastAsia="Times New Roman" w:hAnsi="Arial" w:cs="Times New Roman"/>
                <w:b/>
                <w:sz w:val="24"/>
                <w:szCs w:val="24"/>
                <w:lang w:eastAsia="en-GB"/>
              </w:rPr>
              <w:t>Appendices</w:t>
            </w:r>
          </w:p>
        </w:tc>
      </w:tr>
      <w:tr w:rsidR="00DA4DC1" w:rsidRPr="008A14E8" w:rsidTr="00DA4DC1">
        <w:trPr>
          <w:trHeight w:val="413"/>
        </w:trPr>
        <w:tc>
          <w:tcPr>
            <w:tcW w:w="1985" w:type="dxa"/>
            <w:tcBorders>
              <w:right w:val="single" w:sz="4" w:space="0" w:color="auto"/>
            </w:tcBorders>
          </w:tcPr>
          <w:p w:rsidR="00DA4DC1" w:rsidRPr="00DA4DC1" w:rsidRDefault="00DA4DC1" w:rsidP="00AA42D7">
            <w:pPr>
              <w:spacing w:after="120" w:line="240" w:lineRule="auto"/>
              <w:ind w:left="360"/>
              <w:rPr>
                <w:rFonts w:ascii="Arial" w:eastAsia="Times New Roman" w:hAnsi="Arial" w:cs="Times New Roman"/>
                <w:sz w:val="24"/>
                <w:szCs w:val="24"/>
                <w:lang w:eastAsia="en-GB"/>
              </w:rPr>
            </w:pPr>
            <w:r w:rsidRPr="00DA4DC1">
              <w:rPr>
                <w:rFonts w:ascii="Arial" w:eastAsia="Times New Roman" w:hAnsi="Arial" w:cs="Times New Roman"/>
                <w:sz w:val="24"/>
                <w:szCs w:val="24"/>
                <w:lang w:eastAsia="en-GB"/>
              </w:rPr>
              <w:t xml:space="preserve">Appendix </w:t>
            </w:r>
            <w:r w:rsidR="00AA42D7">
              <w:rPr>
                <w:rFonts w:ascii="Arial" w:eastAsia="Times New Roman" w:hAnsi="Arial" w:cs="Times New Roman"/>
                <w:sz w:val="24"/>
                <w:szCs w:val="24"/>
                <w:lang w:eastAsia="en-GB"/>
              </w:rPr>
              <w:t>1</w:t>
            </w:r>
            <w:r w:rsidRPr="00DA4DC1">
              <w:rPr>
                <w:rFonts w:ascii="Arial" w:eastAsia="Times New Roman" w:hAnsi="Arial" w:cs="Times New Roman"/>
                <w:sz w:val="24"/>
                <w:szCs w:val="24"/>
                <w:lang w:eastAsia="en-GB"/>
              </w:rPr>
              <w:t xml:space="preserve">  </w:t>
            </w:r>
          </w:p>
        </w:tc>
        <w:tc>
          <w:tcPr>
            <w:tcW w:w="7001" w:type="dxa"/>
            <w:gridSpan w:val="2"/>
            <w:tcBorders>
              <w:left w:val="single" w:sz="4" w:space="0" w:color="auto"/>
            </w:tcBorders>
          </w:tcPr>
          <w:p w:rsidR="00DA4DC1" w:rsidRPr="00DA4DC1" w:rsidRDefault="00DA4DC1" w:rsidP="00DA4DC1">
            <w:pPr>
              <w:spacing w:after="120" w:line="240" w:lineRule="auto"/>
              <w:ind w:left="360"/>
              <w:rPr>
                <w:rFonts w:ascii="Arial" w:eastAsia="Times New Roman" w:hAnsi="Arial" w:cs="Times New Roman"/>
                <w:sz w:val="24"/>
                <w:szCs w:val="24"/>
                <w:lang w:eastAsia="en-GB"/>
              </w:rPr>
            </w:pPr>
            <w:r w:rsidRPr="00DA4DC1">
              <w:rPr>
                <w:rFonts w:ascii="Arial" w:eastAsia="Times New Roman" w:hAnsi="Arial" w:cs="Times New Roman"/>
                <w:sz w:val="24"/>
                <w:szCs w:val="24"/>
                <w:lang w:eastAsia="en-GB"/>
              </w:rPr>
              <w:t>Current documentation: Arrangements for Dealing with Allegations of Breaches of the Code of Conduct for Members</w:t>
            </w:r>
          </w:p>
        </w:tc>
      </w:tr>
      <w:tr w:rsidR="00DA4DC1" w:rsidRPr="008A14E8" w:rsidTr="00DA4DC1">
        <w:trPr>
          <w:trHeight w:val="413"/>
        </w:trPr>
        <w:tc>
          <w:tcPr>
            <w:tcW w:w="1985" w:type="dxa"/>
            <w:tcBorders>
              <w:right w:val="single" w:sz="4" w:space="0" w:color="auto"/>
            </w:tcBorders>
          </w:tcPr>
          <w:p w:rsidR="00DA4DC1" w:rsidRPr="00DA4DC1" w:rsidRDefault="00DA4DC1" w:rsidP="00AA42D7">
            <w:pPr>
              <w:spacing w:after="120" w:line="240" w:lineRule="auto"/>
              <w:ind w:left="360"/>
              <w:rPr>
                <w:rFonts w:ascii="Arial" w:eastAsia="Times New Roman" w:hAnsi="Arial" w:cs="Times New Roman"/>
                <w:sz w:val="24"/>
                <w:szCs w:val="24"/>
                <w:lang w:eastAsia="en-GB"/>
              </w:rPr>
            </w:pPr>
            <w:r w:rsidRPr="00DA4DC1">
              <w:rPr>
                <w:rFonts w:ascii="Arial" w:eastAsia="Times New Roman" w:hAnsi="Arial" w:cs="Times New Roman"/>
                <w:sz w:val="24"/>
                <w:szCs w:val="24"/>
                <w:lang w:eastAsia="en-GB"/>
              </w:rPr>
              <w:t xml:space="preserve">Appendix </w:t>
            </w:r>
            <w:r w:rsidR="00AA42D7">
              <w:rPr>
                <w:rFonts w:ascii="Arial" w:eastAsia="Times New Roman" w:hAnsi="Arial" w:cs="Times New Roman"/>
                <w:sz w:val="24"/>
                <w:szCs w:val="24"/>
                <w:lang w:eastAsia="en-GB"/>
              </w:rPr>
              <w:t>2</w:t>
            </w:r>
            <w:r w:rsidRPr="00DA4DC1">
              <w:rPr>
                <w:rFonts w:ascii="Arial" w:eastAsia="Times New Roman" w:hAnsi="Arial" w:cs="Times New Roman"/>
                <w:sz w:val="24"/>
                <w:szCs w:val="24"/>
                <w:lang w:eastAsia="en-GB"/>
              </w:rPr>
              <w:t xml:space="preserve"> </w:t>
            </w:r>
          </w:p>
        </w:tc>
        <w:tc>
          <w:tcPr>
            <w:tcW w:w="7001" w:type="dxa"/>
            <w:gridSpan w:val="2"/>
            <w:tcBorders>
              <w:left w:val="single" w:sz="4" w:space="0" w:color="auto"/>
            </w:tcBorders>
          </w:tcPr>
          <w:p w:rsidR="00DA4DC1" w:rsidRPr="00DA4DC1" w:rsidRDefault="00DA4DC1" w:rsidP="00DA4DC1">
            <w:pPr>
              <w:spacing w:after="120" w:line="240" w:lineRule="auto"/>
              <w:ind w:left="360"/>
              <w:rPr>
                <w:rFonts w:ascii="Arial" w:eastAsia="Times New Roman" w:hAnsi="Arial" w:cs="Times New Roman"/>
                <w:sz w:val="24"/>
                <w:szCs w:val="24"/>
                <w:lang w:eastAsia="en-GB"/>
              </w:rPr>
            </w:pPr>
            <w:r w:rsidRPr="00DA4DC1">
              <w:rPr>
                <w:rFonts w:ascii="Arial" w:eastAsia="Times New Roman" w:hAnsi="Arial" w:cs="Times New Roman"/>
                <w:sz w:val="24"/>
                <w:szCs w:val="24"/>
                <w:lang w:eastAsia="en-GB"/>
              </w:rPr>
              <w:t xml:space="preserve">Draft </w:t>
            </w:r>
            <w:r>
              <w:rPr>
                <w:rFonts w:ascii="Arial" w:eastAsia="Times New Roman" w:hAnsi="Arial" w:cs="Times New Roman"/>
                <w:sz w:val="24"/>
                <w:szCs w:val="24"/>
                <w:lang w:eastAsia="en-GB"/>
              </w:rPr>
              <w:t xml:space="preserve">documentation: </w:t>
            </w:r>
            <w:r w:rsidRPr="00DA4DC1">
              <w:rPr>
                <w:rFonts w:ascii="Arial" w:eastAsia="Times New Roman" w:hAnsi="Arial" w:cs="Times New Roman"/>
                <w:sz w:val="24"/>
                <w:szCs w:val="24"/>
                <w:lang w:eastAsia="en-GB"/>
              </w:rPr>
              <w:t>Arrangements for dealing with code of conduct complaints against councillors</w:t>
            </w:r>
          </w:p>
        </w:tc>
      </w:tr>
    </w:tbl>
    <w:p w:rsidR="008A14E8" w:rsidRPr="008A14E8" w:rsidRDefault="008A14E8" w:rsidP="0029202A">
      <w:pPr>
        <w:spacing w:before="240" w:after="120" w:line="240" w:lineRule="auto"/>
        <w:outlineLvl w:val="0"/>
        <w:rPr>
          <w:rFonts w:ascii="Arial" w:eastAsia="Times New Roman" w:hAnsi="Arial" w:cs="Times New Roman"/>
          <w:b/>
          <w:sz w:val="24"/>
          <w:szCs w:val="24"/>
          <w:lang w:eastAsia="en-GB"/>
        </w:rPr>
      </w:pPr>
      <w:r w:rsidRPr="008A14E8">
        <w:rPr>
          <w:rFonts w:ascii="Arial" w:eastAsia="Times New Roman" w:hAnsi="Arial" w:cs="Times New Roman"/>
          <w:b/>
          <w:sz w:val="24"/>
          <w:szCs w:val="24"/>
          <w:lang w:eastAsia="en-GB"/>
        </w:rPr>
        <w:t xml:space="preserve">Introduction and background </w:t>
      </w:r>
    </w:p>
    <w:p w:rsidR="008334F7" w:rsidRDefault="008A14E8" w:rsidP="00B11F3D">
      <w:pPr>
        <w:pStyle w:val="ListParagraph"/>
        <w:numPr>
          <w:ilvl w:val="0"/>
          <w:numId w:val="7"/>
        </w:numPr>
        <w:spacing w:after="0" w:line="240" w:lineRule="auto"/>
        <w:rPr>
          <w:rFonts w:ascii="Arial" w:eastAsia="Times New Roman" w:hAnsi="Arial" w:cs="Times New Roman"/>
          <w:color w:val="000000"/>
          <w:sz w:val="24"/>
          <w:szCs w:val="24"/>
          <w:lang w:eastAsia="en-GB"/>
        </w:rPr>
      </w:pPr>
      <w:r w:rsidRPr="008011DD">
        <w:rPr>
          <w:rFonts w:ascii="Arial" w:eastAsia="Times New Roman" w:hAnsi="Arial" w:cs="Times New Roman"/>
          <w:color w:val="000000"/>
          <w:sz w:val="24"/>
          <w:szCs w:val="24"/>
          <w:lang w:eastAsia="en-GB"/>
        </w:rPr>
        <w:t xml:space="preserve">In compliance with The Localism Act 2011 the Council has in place arrangements to enable the public to make a formal complaint that an elected or co-opted member of the City Council, or of a Parish Council within the city boundaries, has failed to comply with that authority’s Members’ Code of Conduct. </w:t>
      </w:r>
    </w:p>
    <w:p w:rsidR="008334F7" w:rsidRPr="008334F7" w:rsidRDefault="008334F7" w:rsidP="00B11F3D">
      <w:pPr>
        <w:spacing w:after="0" w:line="240" w:lineRule="auto"/>
        <w:rPr>
          <w:rFonts w:ascii="Arial" w:eastAsia="Times New Roman" w:hAnsi="Arial" w:cs="Times New Roman"/>
          <w:color w:val="000000"/>
          <w:sz w:val="24"/>
          <w:szCs w:val="24"/>
          <w:lang w:eastAsia="en-GB"/>
        </w:rPr>
      </w:pPr>
    </w:p>
    <w:p w:rsidR="008334F7" w:rsidRPr="008334F7" w:rsidRDefault="008A14E8" w:rsidP="000512B5">
      <w:pPr>
        <w:pStyle w:val="ListParagraph"/>
        <w:numPr>
          <w:ilvl w:val="0"/>
          <w:numId w:val="7"/>
        </w:numPr>
        <w:spacing w:after="0" w:line="240" w:lineRule="auto"/>
        <w:ind w:left="426" w:hanging="426"/>
        <w:rPr>
          <w:rFonts w:ascii="Arial" w:eastAsia="Times New Roman" w:hAnsi="Arial" w:cs="Times New Roman"/>
          <w:sz w:val="24"/>
          <w:szCs w:val="24"/>
          <w:lang w:eastAsia="en-GB"/>
        </w:rPr>
      </w:pPr>
      <w:r w:rsidRPr="008334F7">
        <w:rPr>
          <w:rFonts w:ascii="Arial" w:eastAsia="Times New Roman" w:hAnsi="Arial" w:cs="Times New Roman"/>
          <w:sz w:val="24"/>
          <w:szCs w:val="24"/>
          <w:lang w:eastAsia="en-GB"/>
        </w:rPr>
        <w:lastRenderedPageBreak/>
        <w:t xml:space="preserve">Those arrangements, known as the </w:t>
      </w:r>
      <w:r w:rsidR="008011DD" w:rsidRPr="008334F7">
        <w:rPr>
          <w:rFonts w:ascii="Arial" w:eastAsia="Times New Roman" w:hAnsi="Arial" w:cs="Times New Roman"/>
          <w:sz w:val="24"/>
          <w:szCs w:val="24"/>
          <w:lang w:eastAsia="en-GB"/>
        </w:rPr>
        <w:t>“</w:t>
      </w:r>
      <w:r w:rsidRPr="008334F7">
        <w:rPr>
          <w:rFonts w:ascii="Arial" w:eastAsia="Times New Roman" w:hAnsi="Arial" w:cs="Times New Roman"/>
          <w:sz w:val="24"/>
          <w:szCs w:val="24"/>
          <w:lang w:eastAsia="en-GB"/>
        </w:rPr>
        <w:t xml:space="preserve">Complaints Handling </w:t>
      </w:r>
      <w:r w:rsidR="00757BC4" w:rsidRPr="008334F7">
        <w:rPr>
          <w:rFonts w:ascii="Arial" w:eastAsia="Times New Roman" w:hAnsi="Arial" w:cs="Times New Roman"/>
          <w:sz w:val="24"/>
          <w:szCs w:val="24"/>
          <w:lang w:eastAsia="en-GB"/>
        </w:rPr>
        <w:t>Arrangements</w:t>
      </w:r>
      <w:r w:rsidR="008011DD" w:rsidRPr="008334F7">
        <w:rPr>
          <w:rFonts w:ascii="Arial" w:eastAsia="Times New Roman" w:hAnsi="Arial" w:cs="Times New Roman"/>
          <w:sz w:val="24"/>
          <w:szCs w:val="24"/>
          <w:lang w:eastAsia="en-GB"/>
        </w:rPr>
        <w:t>”,</w:t>
      </w:r>
      <w:r w:rsidRPr="008334F7">
        <w:rPr>
          <w:rFonts w:ascii="Arial" w:eastAsia="Times New Roman" w:hAnsi="Arial" w:cs="Times New Roman"/>
          <w:sz w:val="24"/>
          <w:szCs w:val="24"/>
          <w:lang w:eastAsia="en-GB"/>
        </w:rPr>
        <w:t xml:space="preserve"> are publicised on the Council’s website</w:t>
      </w:r>
      <w:r w:rsidR="008334F7" w:rsidRPr="008334F7">
        <w:rPr>
          <w:sz w:val="24"/>
          <w:szCs w:val="24"/>
        </w:rPr>
        <w:t xml:space="preserve"> </w:t>
      </w:r>
      <w:r w:rsidR="008334F7" w:rsidRPr="008334F7">
        <w:rPr>
          <w:rFonts w:ascii="Arial" w:eastAsia="Times New Roman" w:hAnsi="Arial" w:cs="Times New Roman"/>
          <w:sz w:val="24"/>
          <w:szCs w:val="24"/>
          <w:lang w:eastAsia="en-GB"/>
        </w:rPr>
        <w:t xml:space="preserve">and made available to individuals who submit a complaint. </w:t>
      </w:r>
    </w:p>
    <w:p w:rsidR="008A14E8" w:rsidRPr="008A14E8" w:rsidRDefault="008A14E8" w:rsidP="00B11F3D">
      <w:pPr>
        <w:spacing w:after="0" w:line="240" w:lineRule="auto"/>
        <w:rPr>
          <w:rFonts w:ascii="Arial" w:eastAsia="Times New Roman" w:hAnsi="Arial" w:cs="Times New Roman"/>
          <w:sz w:val="24"/>
          <w:szCs w:val="24"/>
          <w:lang w:eastAsia="en-GB"/>
        </w:rPr>
      </w:pPr>
    </w:p>
    <w:p w:rsidR="008334F7" w:rsidRDefault="008A14E8" w:rsidP="00B11F3D">
      <w:pPr>
        <w:pStyle w:val="ListParagraph"/>
        <w:numPr>
          <w:ilvl w:val="0"/>
          <w:numId w:val="7"/>
        </w:numPr>
        <w:spacing w:after="0" w:line="240" w:lineRule="auto"/>
        <w:rPr>
          <w:rFonts w:ascii="Arial" w:eastAsia="Times New Roman" w:hAnsi="Arial" w:cs="Times New Roman"/>
          <w:color w:val="000000"/>
          <w:sz w:val="24"/>
          <w:szCs w:val="24"/>
          <w:lang w:eastAsia="en-GB"/>
        </w:rPr>
      </w:pPr>
      <w:r w:rsidRPr="008011DD">
        <w:rPr>
          <w:rFonts w:ascii="Arial" w:eastAsia="Times New Roman" w:hAnsi="Arial" w:cs="Times New Roman"/>
          <w:color w:val="000000"/>
          <w:sz w:val="24"/>
          <w:szCs w:val="24"/>
          <w:lang w:eastAsia="en-GB"/>
        </w:rPr>
        <w:t xml:space="preserve">The Council adopted the </w:t>
      </w:r>
      <w:r w:rsidR="00757BC4">
        <w:rPr>
          <w:rFonts w:ascii="Arial" w:eastAsia="Times New Roman" w:hAnsi="Arial" w:cs="Times New Roman"/>
          <w:color w:val="000000"/>
          <w:sz w:val="24"/>
          <w:szCs w:val="24"/>
          <w:lang w:eastAsia="en-GB"/>
        </w:rPr>
        <w:t>“</w:t>
      </w:r>
      <w:r w:rsidRPr="008011DD">
        <w:rPr>
          <w:rFonts w:ascii="Arial" w:eastAsia="Times New Roman" w:hAnsi="Arial" w:cs="Times New Roman"/>
          <w:color w:val="000000"/>
          <w:sz w:val="24"/>
          <w:szCs w:val="24"/>
          <w:lang w:eastAsia="en-GB"/>
        </w:rPr>
        <w:t xml:space="preserve">Complaints Handling </w:t>
      </w:r>
      <w:r w:rsidR="00757BC4">
        <w:rPr>
          <w:rFonts w:ascii="Arial" w:eastAsia="Times New Roman" w:hAnsi="Arial" w:cs="Times New Roman"/>
          <w:color w:val="000000"/>
          <w:sz w:val="24"/>
          <w:szCs w:val="24"/>
          <w:lang w:eastAsia="en-GB"/>
        </w:rPr>
        <w:t>Arrangements”</w:t>
      </w:r>
      <w:r w:rsidRPr="008011DD">
        <w:rPr>
          <w:rFonts w:ascii="Arial" w:eastAsia="Times New Roman" w:hAnsi="Arial" w:cs="Times New Roman"/>
          <w:color w:val="000000"/>
          <w:sz w:val="24"/>
          <w:szCs w:val="24"/>
          <w:lang w:eastAsia="en-GB"/>
        </w:rPr>
        <w:t xml:space="preserve"> in May 2012 and </w:t>
      </w:r>
      <w:r w:rsidR="008334F7">
        <w:rPr>
          <w:rFonts w:ascii="Arial" w:eastAsia="Times New Roman" w:hAnsi="Arial" w:cs="Times New Roman"/>
          <w:color w:val="000000"/>
          <w:sz w:val="24"/>
          <w:szCs w:val="24"/>
          <w:lang w:eastAsia="en-GB"/>
        </w:rPr>
        <w:t xml:space="preserve">in </w:t>
      </w:r>
      <w:r w:rsidR="00497C7D">
        <w:rPr>
          <w:rFonts w:ascii="Arial" w:eastAsia="Times New Roman" w:hAnsi="Arial" w:cs="Times New Roman"/>
          <w:color w:val="000000"/>
          <w:sz w:val="24"/>
          <w:szCs w:val="24"/>
          <w:lang w:eastAsia="en-GB"/>
        </w:rPr>
        <w:t>consultation</w:t>
      </w:r>
      <w:r w:rsidR="008334F7">
        <w:rPr>
          <w:rFonts w:ascii="Arial" w:eastAsia="Times New Roman" w:hAnsi="Arial" w:cs="Times New Roman"/>
          <w:color w:val="000000"/>
          <w:sz w:val="24"/>
          <w:szCs w:val="24"/>
          <w:lang w:eastAsia="en-GB"/>
        </w:rPr>
        <w:t xml:space="preserve"> with the other Oxfordshire local authorities</w:t>
      </w:r>
      <w:r w:rsidR="00497C7D">
        <w:rPr>
          <w:rFonts w:ascii="Arial" w:eastAsia="Times New Roman" w:hAnsi="Arial" w:cs="Times New Roman"/>
          <w:color w:val="000000"/>
          <w:sz w:val="24"/>
          <w:szCs w:val="24"/>
          <w:lang w:eastAsia="en-GB"/>
        </w:rPr>
        <w:t xml:space="preserve"> developed a common set of documentation</w:t>
      </w:r>
      <w:r w:rsidR="0038415B">
        <w:rPr>
          <w:rFonts w:ascii="Arial" w:eastAsia="Times New Roman" w:hAnsi="Arial" w:cs="Times New Roman"/>
          <w:color w:val="000000"/>
          <w:sz w:val="24"/>
          <w:szCs w:val="24"/>
          <w:lang w:eastAsia="en-GB"/>
        </w:rPr>
        <w:t>.</w:t>
      </w:r>
      <w:r w:rsidR="008334F7">
        <w:rPr>
          <w:rFonts w:ascii="Arial" w:eastAsia="Times New Roman" w:hAnsi="Arial" w:cs="Times New Roman"/>
          <w:color w:val="000000"/>
          <w:sz w:val="24"/>
          <w:szCs w:val="24"/>
          <w:lang w:eastAsia="en-GB"/>
        </w:rPr>
        <w:t xml:space="preserve">  </w:t>
      </w:r>
    </w:p>
    <w:p w:rsidR="008334F7" w:rsidRPr="008334F7" w:rsidRDefault="008334F7" w:rsidP="0029202A">
      <w:pPr>
        <w:pStyle w:val="ListParagraph"/>
        <w:rPr>
          <w:rFonts w:ascii="Arial" w:eastAsia="Times New Roman" w:hAnsi="Arial" w:cs="Times New Roman"/>
          <w:color w:val="000000"/>
          <w:sz w:val="24"/>
          <w:szCs w:val="24"/>
          <w:lang w:eastAsia="en-GB"/>
        </w:rPr>
      </w:pPr>
    </w:p>
    <w:p w:rsidR="00F714FD" w:rsidRDefault="0038415B" w:rsidP="00B11F3D">
      <w:pPr>
        <w:pStyle w:val="ListParagraph"/>
        <w:numPr>
          <w:ilvl w:val="0"/>
          <w:numId w:val="7"/>
        </w:numPr>
        <w:spacing w:after="0" w:line="240" w:lineRule="auto"/>
        <w:rPr>
          <w:rFonts w:ascii="Arial" w:eastAsia="Times New Roman" w:hAnsi="Arial" w:cs="Times New Roman"/>
          <w:color w:val="000000"/>
          <w:sz w:val="24"/>
          <w:szCs w:val="24"/>
          <w:lang w:eastAsia="en-GB"/>
        </w:rPr>
      </w:pPr>
      <w:r>
        <w:rPr>
          <w:rFonts w:ascii="Arial" w:eastAsia="Times New Roman" w:hAnsi="Arial" w:cs="Times New Roman"/>
          <w:sz w:val="24"/>
          <w:szCs w:val="24"/>
          <w:lang w:eastAsia="en-GB"/>
        </w:rPr>
        <w:t xml:space="preserve">The </w:t>
      </w:r>
      <w:r w:rsidR="001F0059">
        <w:rPr>
          <w:rFonts w:ascii="Arial" w:eastAsia="Times New Roman" w:hAnsi="Arial" w:cs="Times New Roman"/>
          <w:sz w:val="24"/>
          <w:szCs w:val="24"/>
          <w:lang w:eastAsia="en-GB"/>
        </w:rPr>
        <w:t xml:space="preserve">Council’s </w:t>
      </w:r>
      <w:r w:rsidRPr="008334F7">
        <w:rPr>
          <w:rFonts w:ascii="Arial" w:eastAsia="Times New Roman" w:hAnsi="Arial" w:cs="Times New Roman"/>
          <w:sz w:val="24"/>
          <w:szCs w:val="24"/>
          <w:lang w:eastAsia="en-GB"/>
        </w:rPr>
        <w:t>“Complaints Handling Arrangements”</w:t>
      </w:r>
      <w:r w:rsidR="00757BC4">
        <w:rPr>
          <w:rFonts w:ascii="Arial" w:eastAsia="Times New Roman" w:hAnsi="Arial" w:cs="Times New Roman"/>
          <w:color w:val="000000"/>
          <w:sz w:val="24"/>
          <w:szCs w:val="24"/>
          <w:lang w:eastAsia="en-GB"/>
        </w:rPr>
        <w:t xml:space="preserve"> </w:t>
      </w:r>
      <w:r w:rsidR="00F714FD">
        <w:rPr>
          <w:rFonts w:ascii="Arial" w:eastAsia="Times New Roman" w:hAnsi="Arial" w:cs="Times New Roman"/>
          <w:color w:val="000000"/>
          <w:sz w:val="24"/>
          <w:szCs w:val="24"/>
          <w:lang w:eastAsia="en-GB"/>
        </w:rPr>
        <w:t>have</w:t>
      </w:r>
      <w:r w:rsidR="008A14E8" w:rsidRPr="008011DD">
        <w:rPr>
          <w:rFonts w:ascii="Arial" w:eastAsia="Times New Roman" w:hAnsi="Arial" w:cs="Times New Roman"/>
          <w:color w:val="000000"/>
          <w:sz w:val="24"/>
          <w:szCs w:val="24"/>
          <w:lang w:eastAsia="en-GB"/>
        </w:rPr>
        <w:t xml:space="preserve"> not been </w:t>
      </w:r>
      <w:r>
        <w:rPr>
          <w:rFonts w:ascii="Arial" w:eastAsia="Times New Roman" w:hAnsi="Arial" w:cs="Times New Roman"/>
          <w:color w:val="000000"/>
          <w:sz w:val="24"/>
          <w:szCs w:val="24"/>
          <w:lang w:eastAsia="en-GB"/>
        </w:rPr>
        <w:t xml:space="preserve">reviewed or </w:t>
      </w:r>
      <w:r w:rsidR="008A14E8" w:rsidRPr="008011DD">
        <w:rPr>
          <w:rFonts w:ascii="Arial" w:eastAsia="Times New Roman" w:hAnsi="Arial" w:cs="Times New Roman"/>
          <w:color w:val="000000"/>
          <w:sz w:val="24"/>
          <w:szCs w:val="24"/>
          <w:lang w:eastAsia="en-GB"/>
        </w:rPr>
        <w:t>updated</w:t>
      </w:r>
      <w:r w:rsidR="008011DD">
        <w:rPr>
          <w:rFonts w:ascii="Arial" w:eastAsia="Times New Roman" w:hAnsi="Arial" w:cs="Times New Roman"/>
          <w:color w:val="000000"/>
          <w:sz w:val="24"/>
          <w:szCs w:val="24"/>
          <w:lang w:eastAsia="en-GB"/>
        </w:rPr>
        <w:t xml:space="preserve"> in the last six years</w:t>
      </w:r>
      <w:r w:rsidR="001F0059">
        <w:rPr>
          <w:rFonts w:ascii="Arial" w:eastAsia="Times New Roman" w:hAnsi="Arial" w:cs="Times New Roman"/>
          <w:color w:val="000000"/>
          <w:sz w:val="24"/>
          <w:szCs w:val="24"/>
          <w:lang w:eastAsia="en-GB"/>
        </w:rPr>
        <w:t xml:space="preserve">, although many other local authorities, including South, Vale and West Oxfordshire have </w:t>
      </w:r>
      <w:r w:rsidR="00F714FD">
        <w:rPr>
          <w:rFonts w:ascii="Arial" w:eastAsia="Times New Roman" w:hAnsi="Arial" w:cs="Times New Roman"/>
          <w:color w:val="000000"/>
          <w:sz w:val="24"/>
          <w:szCs w:val="24"/>
          <w:lang w:eastAsia="en-GB"/>
        </w:rPr>
        <w:t>published amended or expanded versions of the original documentation</w:t>
      </w:r>
      <w:r w:rsidR="008A14E8" w:rsidRPr="008011DD">
        <w:rPr>
          <w:rFonts w:ascii="Arial" w:eastAsia="Times New Roman" w:hAnsi="Arial" w:cs="Times New Roman"/>
          <w:color w:val="000000"/>
          <w:sz w:val="24"/>
          <w:szCs w:val="24"/>
          <w:lang w:eastAsia="en-GB"/>
        </w:rPr>
        <w:t xml:space="preserve">. </w:t>
      </w:r>
    </w:p>
    <w:p w:rsidR="00F714FD" w:rsidRPr="00F714FD" w:rsidRDefault="00F714FD" w:rsidP="00B11F3D">
      <w:pPr>
        <w:pStyle w:val="ListParagraph"/>
        <w:spacing w:after="0" w:line="240" w:lineRule="auto"/>
        <w:rPr>
          <w:rFonts w:ascii="Arial" w:eastAsia="Times New Roman" w:hAnsi="Arial" w:cs="Times New Roman"/>
          <w:color w:val="000000"/>
          <w:sz w:val="24"/>
          <w:szCs w:val="24"/>
          <w:lang w:eastAsia="en-GB"/>
        </w:rPr>
      </w:pPr>
    </w:p>
    <w:p w:rsidR="008A14E8" w:rsidRDefault="008011DD" w:rsidP="00B11F3D">
      <w:pPr>
        <w:pStyle w:val="ListParagraph"/>
        <w:numPr>
          <w:ilvl w:val="0"/>
          <w:numId w:val="7"/>
        </w:numPr>
        <w:spacing w:after="0" w:line="240" w:lineRule="auto"/>
        <w:rPr>
          <w:rFonts w:ascii="Arial" w:eastAsia="Times New Roman" w:hAnsi="Arial" w:cs="Times New Roman"/>
          <w:color w:val="000000"/>
          <w:sz w:val="24"/>
          <w:szCs w:val="24"/>
          <w:lang w:eastAsia="en-GB"/>
        </w:rPr>
      </w:pPr>
      <w:r>
        <w:rPr>
          <w:rFonts w:ascii="Arial" w:eastAsia="Times New Roman" w:hAnsi="Arial" w:cs="Times New Roman"/>
          <w:color w:val="000000"/>
          <w:sz w:val="24"/>
          <w:szCs w:val="24"/>
          <w:lang w:eastAsia="en-GB"/>
        </w:rPr>
        <w:t>D</w:t>
      </w:r>
      <w:r w:rsidR="008A14E8" w:rsidRPr="008011DD">
        <w:rPr>
          <w:rFonts w:ascii="Arial" w:eastAsia="Times New Roman" w:hAnsi="Arial" w:cs="Times New Roman"/>
          <w:color w:val="000000"/>
          <w:sz w:val="24"/>
          <w:szCs w:val="24"/>
          <w:lang w:eastAsia="en-GB"/>
        </w:rPr>
        <w:t xml:space="preserve">uring 2018 the Monitoring Officer and Committee &amp; Member Services officers have </w:t>
      </w:r>
      <w:r>
        <w:rPr>
          <w:rFonts w:ascii="Arial" w:eastAsia="Times New Roman" w:hAnsi="Arial" w:cs="Times New Roman"/>
          <w:color w:val="000000"/>
          <w:sz w:val="24"/>
          <w:szCs w:val="24"/>
          <w:lang w:eastAsia="en-GB"/>
        </w:rPr>
        <w:t>subjected</w:t>
      </w:r>
      <w:r w:rsidR="008A14E8" w:rsidRPr="008011DD">
        <w:rPr>
          <w:rFonts w:ascii="Arial" w:eastAsia="Times New Roman" w:hAnsi="Arial" w:cs="Times New Roman"/>
          <w:color w:val="000000"/>
          <w:sz w:val="24"/>
          <w:szCs w:val="24"/>
          <w:lang w:eastAsia="en-GB"/>
        </w:rPr>
        <w:t xml:space="preserve"> the Complaints Handling </w:t>
      </w:r>
      <w:r w:rsidR="001F0059">
        <w:rPr>
          <w:rFonts w:ascii="Arial" w:eastAsia="Times New Roman" w:hAnsi="Arial" w:cs="Times New Roman"/>
          <w:color w:val="000000"/>
          <w:sz w:val="24"/>
          <w:szCs w:val="24"/>
          <w:lang w:eastAsia="en-GB"/>
        </w:rPr>
        <w:t>Arrangements</w:t>
      </w:r>
      <w:r>
        <w:rPr>
          <w:rFonts w:ascii="Arial" w:eastAsia="Times New Roman" w:hAnsi="Arial" w:cs="Times New Roman"/>
          <w:color w:val="000000"/>
          <w:sz w:val="24"/>
          <w:szCs w:val="24"/>
          <w:lang w:eastAsia="en-GB"/>
        </w:rPr>
        <w:t xml:space="preserve"> to a review to challenge whether the process </w:t>
      </w:r>
      <w:r w:rsidR="008A14E8" w:rsidRPr="008011DD">
        <w:rPr>
          <w:rFonts w:ascii="Arial" w:eastAsia="Times New Roman" w:hAnsi="Arial" w:cs="Times New Roman"/>
          <w:color w:val="000000"/>
          <w:sz w:val="24"/>
          <w:szCs w:val="24"/>
          <w:lang w:eastAsia="en-GB"/>
        </w:rPr>
        <w:t xml:space="preserve">and the supporting documentation remain fit for purpose.  As a result of that </w:t>
      </w:r>
      <w:r>
        <w:rPr>
          <w:rFonts w:ascii="Arial" w:eastAsia="Times New Roman" w:hAnsi="Arial" w:cs="Times New Roman"/>
          <w:color w:val="000000"/>
          <w:sz w:val="24"/>
          <w:szCs w:val="24"/>
          <w:lang w:eastAsia="en-GB"/>
        </w:rPr>
        <w:t xml:space="preserve">exercise </w:t>
      </w:r>
      <w:r w:rsidR="00497C7D">
        <w:rPr>
          <w:rFonts w:ascii="Arial" w:eastAsia="Times New Roman" w:hAnsi="Arial" w:cs="Times New Roman"/>
          <w:color w:val="000000"/>
          <w:sz w:val="24"/>
          <w:szCs w:val="24"/>
          <w:lang w:eastAsia="en-GB"/>
        </w:rPr>
        <w:t xml:space="preserve">and in the light of recent casework </w:t>
      </w:r>
      <w:r w:rsidR="008A14E8" w:rsidRPr="008011DD">
        <w:rPr>
          <w:rFonts w:ascii="Arial" w:eastAsia="Times New Roman" w:hAnsi="Arial" w:cs="Times New Roman"/>
          <w:color w:val="000000"/>
          <w:sz w:val="24"/>
          <w:szCs w:val="24"/>
          <w:lang w:eastAsia="en-GB"/>
        </w:rPr>
        <w:t xml:space="preserve">it is proposed to make some revisions </w:t>
      </w:r>
      <w:r>
        <w:rPr>
          <w:rFonts w:ascii="Arial" w:eastAsia="Times New Roman" w:hAnsi="Arial" w:cs="Times New Roman"/>
          <w:color w:val="000000"/>
          <w:sz w:val="24"/>
          <w:szCs w:val="24"/>
          <w:lang w:eastAsia="en-GB"/>
        </w:rPr>
        <w:t xml:space="preserve">to </w:t>
      </w:r>
      <w:r w:rsidR="008A14E8" w:rsidRPr="008011DD">
        <w:rPr>
          <w:rFonts w:ascii="Arial" w:eastAsia="Times New Roman" w:hAnsi="Arial" w:cs="Times New Roman"/>
          <w:color w:val="000000"/>
          <w:sz w:val="24"/>
          <w:szCs w:val="24"/>
          <w:lang w:eastAsia="en-GB"/>
        </w:rPr>
        <w:t xml:space="preserve">provide additional rigour </w:t>
      </w:r>
      <w:r>
        <w:rPr>
          <w:rFonts w:ascii="Arial" w:eastAsia="Times New Roman" w:hAnsi="Arial" w:cs="Times New Roman"/>
          <w:color w:val="000000"/>
          <w:sz w:val="24"/>
          <w:szCs w:val="24"/>
          <w:lang w:eastAsia="en-GB"/>
        </w:rPr>
        <w:t xml:space="preserve">to the process </w:t>
      </w:r>
      <w:r w:rsidR="008A14E8" w:rsidRPr="008011DD">
        <w:rPr>
          <w:rFonts w:ascii="Arial" w:eastAsia="Times New Roman" w:hAnsi="Arial" w:cs="Times New Roman"/>
          <w:color w:val="000000"/>
          <w:sz w:val="24"/>
          <w:szCs w:val="24"/>
          <w:lang w:eastAsia="en-GB"/>
        </w:rPr>
        <w:t xml:space="preserve">and </w:t>
      </w:r>
      <w:r>
        <w:rPr>
          <w:rFonts w:ascii="Arial" w:eastAsia="Times New Roman" w:hAnsi="Arial" w:cs="Times New Roman"/>
          <w:color w:val="000000"/>
          <w:sz w:val="24"/>
          <w:szCs w:val="24"/>
          <w:lang w:eastAsia="en-GB"/>
        </w:rPr>
        <w:t>clarification to</w:t>
      </w:r>
      <w:r w:rsidR="008A14E8" w:rsidRPr="008011DD">
        <w:rPr>
          <w:rFonts w:ascii="Arial" w:eastAsia="Times New Roman" w:hAnsi="Arial" w:cs="Times New Roman"/>
          <w:color w:val="000000"/>
          <w:sz w:val="24"/>
          <w:szCs w:val="24"/>
          <w:lang w:eastAsia="en-GB"/>
        </w:rPr>
        <w:t xml:space="preserve"> the supporting documentation.</w:t>
      </w:r>
    </w:p>
    <w:p w:rsidR="005E6A6F" w:rsidRPr="005E6A6F" w:rsidRDefault="005E6A6F" w:rsidP="005E6A6F">
      <w:pPr>
        <w:pStyle w:val="ListParagraph"/>
        <w:rPr>
          <w:rFonts w:ascii="Arial" w:eastAsia="Times New Roman" w:hAnsi="Arial" w:cs="Times New Roman"/>
          <w:color w:val="000000"/>
          <w:sz w:val="24"/>
          <w:szCs w:val="24"/>
          <w:lang w:eastAsia="en-GB"/>
        </w:rPr>
      </w:pPr>
    </w:p>
    <w:p w:rsidR="005E6A6F" w:rsidRPr="00262BFE" w:rsidRDefault="005E6A6F" w:rsidP="00B11F3D">
      <w:pPr>
        <w:pStyle w:val="ListParagraph"/>
        <w:numPr>
          <w:ilvl w:val="0"/>
          <w:numId w:val="7"/>
        </w:numPr>
        <w:spacing w:after="0" w:line="240" w:lineRule="auto"/>
        <w:rPr>
          <w:rFonts w:ascii="Arial" w:eastAsia="Times New Roman" w:hAnsi="Arial" w:cs="Times New Roman"/>
          <w:color w:val="FF0000"/>
          <w:sz w:val="24"/>
          <w:szCs w:val="24"/>
          <w:lang w:eastAsia="en-GB"/>
        </w:rPr>
      </w:pPr>
      <w:r w:rsidRPr="00262BFE">
        <w:rPr>
          <w:rFonts w:ascii="Arial" w:eastAsia="Times New Roman" w:hAnsi="Arial" w:cs="Times New Roman"/>
          <w:sz w:val="24"/>
          <w:szCs w:val="24"/>
          <w:lang w:eastAsia="en-GB"/>
        </w:rPr>
        <w:t xml:space="preserve">The Committee on Standards in Public Life published the “Local Government Ethical Standards” report on 30 January 2019 and 13 of the 26 recommendations to Government relate </w:t>
      </w:r>
      <w:r w:rsidR="00262BFE" w:rsidRPr="00262BFE">
        <w:rPr>
          <w:rFonts w:ascii="Arial" w:eastAsia="Times New Roman" w:hAnsi="Arial" w:cs="Times New Roman"/>
          <w:sz w:val="24"/>
          <w:szCs w:val="24"/>
          <w:lang w:eastAsia="en-GB"/>
        </w:rPr>
        <w:t>to some aspect of the Code of Conduct and by association the complaints handling process. Additionally 7 of the 8 Best Practice recommendations relate to the Code of Conduct.  These points are discussed in detail in a separate report to the Committee but it is important to note that the changes and improvements to the Council’s complaints handling process that are proposed here do not conflict with any of the recommendations or best practice observations made by the Committee on Standards in Public Life. Further changes will be required in due course if the Government accepts the recommendations made by Committee on Standards in Public Life</w:t>
      </w:r>
    </w:p>
    <w:p w:rsidR="008A14E8" w:rsidRPr="008A14E8" w:rsidRDefault="008A14E8" w:rsidP="0029202A">
      <w:pPr>
        <w:spacing w:after="0" w:line="240" w:lineRule="auto"/>
        <w:rPr>
          <w:rFonts w:ascii="Arial" w:eastAsia="Times New Roman" w:hAnsi="Arial" w:cs="Times New Roman"/>
          <w:sz w:val="24"/>
          <w:szCs w:val="24"/>
          <w:lang w:eastAsia="en-GB"/>
        </w:rPr>
      </w:pPr>
    </w:p>
    <w:p w:rsidR="00144E90" w:rsidRDefault="008A14E8">
      <w:pPr>
        <w:widowControl w:val="0"/>
        <w:tabs>
          <w:tab w:val="left" w:pos="1093"/>
          <w:tab w:val="left" w:pos="1094"/>
        </w:tabs>
        <w:autoSpaceDE w:val="0"/>
        <w:autoSpaceDN w:val="0"/>
        <w:spacing w:after="120" w:line="240" w:lineRule="auto"/>
        <w:rPr>
          <w:rFonts w:ascii="Arial" w:eastAsia="Times New Roman" w:hAnsi="Arial" w:cs="Times New Roman"/>
          <w:b/>
          <w:color w:val="000000"/>
          <w:sz w:val="24"/>
          <w:szCs w:val="24"/>
          <w:lang w:eastAsia="en-GB"/>
        </w:rPr>
      </w:pPr>
      <w:r w:rsidRPr="008A14E8">
        <w:rPr>
          <w:rFonts w:ascii="Arial" w:eastAsia="Times New Roman" w:hAnsi="Arial" w:cs="Times New Roman"/>
          <w:b/>
          <w:color w:val="000000"/>
          <w:sz w:val="24"/>
          <w:szCs w:val="24"/>
          <w:lang w:eastAsia="en-GB"/>
        </w:rPr>
        <w:t xml:space="preserve">Proposed </w:t>
      </w:r>
      <w:r w:rsidR="00CD122C">
        <w:rPr>
          <w:rFonts w:ascii="Arial" w:eastAsia="Times New Roman" w:hAnsi="Arial" w:cs="Times New Roman"/>
          <w:b/>
          <w:color w:val="000000"/>
          <w:sz w:val="24"/>
          <w:szCs w:val="24"/>
          <w:lang w:eastAsia="en-GB"/>
        </w:rPr>
        <w:t>amendments</w:t>
      </w:r>
      <w:r w:rsidRPr="008A14E8">
        <w:rPr>
          <w:rFonts w:ascii="Arial" w:eastAsia="Times New Roman" w:hAnsi="Arial" w:cs="Times New Roman"/>
          <w:b/>
          <w:color w:val="000000"/>
          <w:sz w:val="24"/>
          <w:szCs w:val="24"/>
          <w:lang w:eastAsia="en-GB"/>
        </w:rPr>
        <w:t xml:space="preserve"> to the </w:t>
      </w:r>
      <w:r w:rsidR="00757BC4">
        <w:rPr>
          <w:rFonts w:ascii="Arial" w:eastAsia="Times New Roman" w:hAnsi="Arial" w:cs="Times New Roman"/>
          <w:b/>
          <w:color w:val="000000"/>
          <w:sz w:val="24"/>
          <w:szCs w:val="24"/>
          <w:lang w:eastAsia="en-GB"/>
        </w:rPr>
        <w:t>“C</w:t>
      </w:r>
      <w:r w:rsidRPr="008A14E8">
        <w:rPr>
          <w:rFonts w:ascii="Arial" w:eastAsia="Times New Roman" w:hAnsi="Arial" w:cs="Times New Roman"/>
          <w:b/>
          <w:color w:val="000000"/>
          <w:sz w:val="24"/>
          <w:szCs w:val="24"/>
          <w:lang w:eastAsia="en-GB"/>
        </w:rPr>
        <w:t xml:space="preserve">omplaints </w:t>
      </w:r>
      <w:r w:rsidR="00757BC4">
        <w:rPr>
          <w:rFonts w:ascii="Arial" w:eastAsia="Times New Roman" w:hAnsi="Arial" w:cs="Times New Roman"/>
          <w:b/>
          <w:color w:val="000000"/>
          <w:sz w:val="24"/>
          <w:szCs w:val="24"/>
          <w:lang w:eastAsia="en-GB"/>
        </w:rPr>
        <w:t>H</w:t>
      </w:r>
      <w:r w:rsidRPr="008A14E8">
        <w:rPr>
          <w:rFonts w:ascii="Arial" w:eastAsia="Times New Roman" w:hAnsi="Arial" w:cs="Times New Roman"/>
          <w:b/>
          <w:color w:val="000000"/>
          <w:sz w:val="24"/>
          <w:szCs w:val="24"/>
          <w:lang w:eastAsia="en-GB"/>
        </w:rPr>
        <w:t xml:space="preserve">andling </w:t>
      </w:r>
      <w:r w:rsidR="00757BC4">
        <w:rPr>
          <w:rFonts w:ascii="Arial" w:eastAsia="Times New Roman" w:hAnsi="Arial" w:cs="Times New Roman"/>
          <w:b/>
          <w:color w:val="000000"/>
          <w:sz w:val="24"/>
          <w:szCs w:val="24"/>
          <w:lang w:eastAsia="en-GB"/>
        </w:rPr>
        <w:t>Arrangements”</w:t>
      </w:r>
      <w:r w:rsidR="00F714FD">
        <w:rPr>
          <w:rFonts w:ascii="Arial" w:eastAsia="Times New Roman" w:hAnsi="Arial" w:cs="Times New Roman"/>
          <w:b/>
          <w:color w:val="000000"/>
          <w:sz w:val="24"/>
          <w:szCs w:val="24"/>
          <w:lang w:eastAsia="en-GB"/>
        </w:rPr>
        <w:t xml:space="preserve"> </w:t>
      </w:r>
    </w:p>
    <w:p w:rsidR="008A14E8" w:rsidRPr="008A14E8" w:rsidRDefault="00144E90" w:rsidP="00B11F3D">
      <w:pPr>
        <w:widowControl w:val="0"/>
        <w:tabs>
          <w:tab w:val="left" w:pos="1093"/>
          <w:tab w:val="left" w:pos="1094"/>
        </w:tabs>
        <w:autoSpaceDE w:val="0"/>
        <w:autoSpaceDN w:val="0"/>
        <w:spacing w:after="120" w:line="240" w:lineRule="auto"/>
        <w:ind w:left="360"/>
        <w:rPr>
          <w:rFonts w:ascii="Arial" w:eastAsia="Times New Roman" w:hAnsi="Arial" w:cs="Times New Roman"/>
          <w:b/>
          <w:color w:val="000000"/>
          <w:sz w:val="24"/>
          <w:szCs w:val="24"/>
          <w:lang w:eastAsia="en-GB"/>
        </w:rPr>
      </w:pPr>
      <w:r>
        <w:rPr>
          <w:rFonts w:ascii="Arial" w:eastAsia="Times New Roman" w:hAnsi="Arial" w:cs="Times New Roman"/>
          <w:b/>
          <w:color w:val="000000"/>
          <w:sz w:val="24"/>
          <w:szCs w:val="24"/>
          <w:lang w:eastAsia="en-GB"/>
        </w:rPr>
        <w:t>D</w:t>
      </w:r>
      <w:r w:rsidR="00F714FD">
        <w:rPr>
          <w:rFonts w:ascii="Arial" w:eastAsia="Times New Roman" w:hAnsi="Arial" w:cs="Times New Roman"/>
          <w:b/>
          <w:color w:val="000000"/>
          <w:sz w:val="24"/>
          <w:szCs w:val="24"/>
          <w:lang w:eastAsia="en-GB"/>
        </w:rPr>
        <w:t>ocumentation</w:t>
      </w:r>
    </w:p>
    <w:p w:rsidR="008A14E8" w:rsidRPr="008A14E8" w:rsidRDefault="008A14E8" w:rsidP="00B11F3D">
      <w:pPr>
        <w:numPr>
          <w:ilvl w:val="0"/>
          <w:numId w:val="7"/>
        </w:numPr>
        <w:tabs>
          <w:tab w:val="left" w:pos="426"/>
          <w:tab w:val="left" w:pos="1260"/>
          <w:tab w:val="left" w:pos="1261"/>
        </w:tabs>
        <w:spacing w:after="0" w:line="240" w:lineRule="auto"/>
        <w:rPr>
          <w:rFonts w:ascii="Arial" w:eastAsia="Times New Roman" w:hAnsi="Arial" w:cs="Times New Roman"/>
          <w:sz w:val="24"/>
          <w:szCs w:val="24"/>
          <w:lang w:eastAsia="en-GB"/>
        </w:rPr>
      </w:pPr>
      <w:r w:rsidRPr="008A14E8">
        <w:rPr>
          <w:rFonts w:ascii="Arial" w:eastAsia="Times New Roman" w:hAnsi="Arial" w:cs="Times New Roman"/>
          <w:sz w:val="24"/>
          <w:szCs w:val="24"/>
          <w:lang w:eastAsia="en-GB"/>
        </w:rPr>
        <w:t xml:space="preserve">The current documentation supporting the </w:t>
      </w:r>
      <w:r w:rsidR="00611543">
        <w:rPr>
          <w:rFonts w:ascii="Arial" w:eastAsia="Times New Roman" w:hAnsi="Arial" w:cs="Times New Roman"/>
          <w:sz w:val="24"/>
          <w:szCs w:val="24"/>
          <w:lang w:eastAsia="en-GB"/>
        </w:rPr>
        <w:t>“</w:t>
      </w:r>
      <w:r w:rsidRPr="008A14E8">
        <w:rPr>
          <w:rFonts w:ascii="Arial" w:eastAsia="Times New Roman" w:hAnsi="Arial" w:cs="Times New Roman"/>
          <w:sz w:val="24"/>
          <w:szCs w:val="24"/>
          <w:lang w:eastAsia="en-GB"/>
        </w:rPr>
        <w:t xml:space="preserve">Complaints Handling </w:t>
      </w:r>
      <w:r w:rsidR="00757BC4">
        <w:rPr>
          <w:rFonts w:ascii="Arial" w:eastAsia="Times New Roman" w:hAnsi="Arial" w:cs="Times New Roman"/>
          <w:sz w:val="24"/>
          <w:szCs w:val="24"/>
          <w:lang w:eastAsia="en-GB"/>
        </w:rPr>
        <w:t>Arrangements</w:t>
      </w:r>
      <w:r w:rsidR="00611543">
        <w:rPr>
          <w:rFonts w:ascii="Arial" w:eastAsia="Times New Roman" w:hAnsi="Arial" w:cs="Times New Roman"/>
          <w:sz w:val="24"/>
          <w:szCs w:val="24"/>
          <w:lang w:eastAsia="en-GB"/>
        </w:rPr>
        <w:t>”</w:t>
      </w:r>
      <w:r w:rsidRPr="008A14E8">
        <w:rPr>
          <w:rFonts w:ascii="Arial" w:eastAsia="Times New Roman" w:hAnsi="Arial" w:cs="Times New Roman"/>
          <w:sz w:val="24"/>
          <w:szCs w:val="24"/>
          <w:lang w:eastAsia="en-GB"/>
        </w:rPr>
        <w:t xml:space="preserve"> is attached for reference at A</w:t>
      </w:r>
      <w:r w:rsidR="00DA4DC1">
        <w:rPr>
          <w:rFonts w:ascii="Arial" w:eastAsia="Times New Roman" w:hAnsi="Arial" w:cs="Times New Roman"/>
          <w:sz w:val="24"/>
          <w:szCs w:val="24"/>
          <w:lang w:eastAsia="en-GB"/>
        </w:rPr>
        <w:t>ppendi</w:t>
      </w:r>
      <w:r w:rsidRPr="008A14E8">
        <w:rPr>
          <w:rFonts w:ascii="Arial" w:eastAsia="Times New Roman" w:hAnsi="Arial" w:cs="Times New Roman"/>
          <w:sz w:val="24"/>
          <w:szCs w:val="24"/>
          <w:lang w:eastAsia="en-GB"/>
        </w:rPr>
        <w:t xml:space="preserve">x </w:t>
      </w:r>
      <w:r w:rsidR="00DA4DC1">
        <w:rPr>
          <w:rFonts w:ascii="Arial" w:eastAsia="Times New Roman" w:hAnsi="Arial" w:cs="Times New Roman"/>
          <w:sz w:val="24"/>
          <w:szCs w:val="24"/>
          <w:lang w:eastAsia="en-GB"/>
        </w:rPr>
        <w:t>A</w:t>
      </w:r>
      <w:r w:rsidRPr="008A14E8">
        <w:rPr>
          <w:rFonts w:ascii="Arial" w:eastAsia="Times New Roman" w:hAnsi="Arial" w:cs="Times New Roman"/>
          <w:sz w:val="24"/>
          <w:szCs w:val="24"/>
          <w:lang w:eastAsia="en-GB"/>
        </w:rPr>
        <w:t xml:space="preserve"> and comprises:</w:t>
      </w:r>
      <w:r w:rsidRPr="008A14E8">
        <w:rPr>
          <w:rFonts w:ascii="Arial" w:eastAsia="Times New Roman" w:hAnsi="Arial" w:cs="Times New Roman"/>
          <w:sz w:val="24"/>
          <w:szCs w:val="24"/>
          <w:lang w:eastAsia="en-GB"/>
        </w:rPr>
        <w:tab/>
      </w:r>
    </w:p>
    <w:p w:rsidR="008A14E8" w:rsidRDefault="008A14E8" w:rsidP="0029202A">
      <w:pPr>
        <w:numPr>
          <w:ilvl w:val="0"/>
          <w:numId w:val="9"/>
        </w:numPr>
        <w:tabs>
          <w:tab w:val="left" w:pos="426"/>
          <w:tab w:val="left" w:pos="1260"/>
          <w:tab w:val="left" w:pos="1261"/>
        </w:tabs>
        <w:spacing w:before="120" w:after="0" w:line="240" w:lineRule="auto"/>
        <w:ind w:left="1077" w:hanging="357"/>
        <w:rPr>
          <w:rFonts w:ascii="Arial" w:eastAsia="Times New Roman" w:hAnsi="Arial" w:cs="Times New Roman"/>
          <w:sz w:val="24"/>
          <w:szCs w:val="24"/>
          <w:lang w:eastAsia="en-GB"/>
        </w:rPr>
      </w:pPr>
      <w:r w:rsidRPr="008A14E8">
        <w:rPr>
          <w:rFonts w:ascii="Arial" w:eastAsia="Times New Roman" w:hAnsi="Arial" w:cs="Times New Roman"/>
          <w:sz w:val="24"/>
          <w:szCs w:val="24"/>
          <w:lang w:eastAsia="en-GB"/>
        </w:rPr>
        <w:t>The guidance document</w:t>
      </w:r>
      <w:r w:rsidR="00757BC4">
        <w:rPr>
          <w:rFonts w:ascii="Arial" w:eastAsia="Times New Roman" w:hAnsi="Arial" w:cs="Times New Roman"/>
          <w:sz w:val="24"/>
          <w:szCs w:val="24"/>
          <w:lang w:eastAsia="en-GB"/>
        </w:rPr>
        <w:t xml:space="preserve"> </w:t>
      </w:r>
      <w:r w:rsidR="00611543">
        <w:rPr>
          <w:rFonts w:ascii="Arial" w:eastAsia="Times New Roman" w:hAnsi="Arial" w:cs="Times New Roman"/>
          <w:sz w:val="24"/>
          <w:szCs w:val="24"/>
          <w:lang w:eastAsia="en-GB"/>
        </w:rPr>
        <w:t>(Arrangements for Dealing with Allegations of Breaches of the Code of Conduct for Members)</w:t>
      </w:r>
    </w:p>
    <w:p w:rsidR="00F714FD" w:rsidRDefault="00F714FD">
      <w:pPr>
        <w:numPr>
          <w:ilvl w:val="0"/>
          <w:numId w:val="9"/>
        </w:numPr>
        <w:tabs>
          <w:tab w:val="left" w:pos="426"/>
          <w:tab w:val="left" w:pos="1260"/>
          <w:tab w:val="left" w:pos="1261"/>
        </w:tabs>
        <w:spacing w:before="120" w:after="0" w:line="240" w:lineRule="auto"/>
        <w:ind w:left="1077" w:hanging="357"/>
        <w:rPr>
          <w:rFonts w:ascii="Arial" w:eastAsia="Times New Roman" w:hAnsi="Arial" w:cs="Times New Roman"/>
          <w:sz w:val="24"/>
          <w:szCs w:val="24"/>
          <w:lang w:eastAsia="en-GB"/>
        </w:rPr>
      </w:pPr>
      <w:r w:rsidRPr="008A14E8">
        <w:rPr>
          <w:rFonts w:ascii="Arial" w:eastAsia="Times New Roman" w:hAnsi="Arial" w:cs="Times New Roman"/>
          <w:sz w:val="24"/>
          <w:szCs w:val="24"/>
          <w:lang w:eastAsia="en-GB"/>
        </w:rPr>
        <w:t>The Complaint Form</w:t>
      </w:r>
    </w:p>
    <w:p w:rsidR="00F6579F" w:rsidRDefault="00F6579F">
      <w:pPr>
        <w:tabs>
          <w:tab w:val="left" w:pos="426"/>
          <w:tab w:val="left" w:pos="1260"/>
          <w:tab w:val="left" w:pos="1261"/>
        </w:tabs>
        <w:spacing w:after="0" w:line="240" w:lineRule="auto"/>
        <w:ind w:left="720"/>
        <w:rPr>
          <w:rFonts w:ascii="Arial" w:eastAsia="Times New Roman" w:hAnsi="Arial" w:cs="Times New Roman"/>
          <w:sz w:val="24"/>
          <w:szCs w:val="24"/>
          <w:lang w:eastAsia="en-GB"/>
        </w:rPr>
      </w:pPr>
    </w:p>
    <w:p w:rsidR="00D626BA" w:rsidRPr="00F6579F" w:rsidRDefault="00D626BA" w:rsidP="00B11F3D">
      <w:pPr>
        <w:numPr>
          <w:ilvl w:val="0"/>
          <w:numId w:val="7"/>
        </w:numPr>
        <w:tabs>
          <w:tab w:val="left" w:pos="426"/>
          <w:tab w:val="left" w:pos="1260"/>
          <w:tab w:val="left" w:pos="1261"/>
        </w:tabs>
        <w:spacing w:after="0" w:line="240" w:lineRule="auto"/>
        <w:ind w:left="357" w:hanging="357"/>
        <w:rPr>
          <w:rFonts w:ascii="Arial" w:eastAsia="Times New Roman" w:hAnsi="Arial" w:cs="Times New Roman"/>
          <w:b/>
          <w:color w:val="FF0000"/>
          <w:sz w:val="24"/>
          <w:szCs w:val="24"/>
          <w:lang w:eastAsia="en-GB"/>
        </w:rPr>
      </w:pPr>
      <w:r>
        <w:rPr>
          <w:rFonts w:ascii="Arial" w:eastAsia="Times New Roman" w:hAnsi="Arial" w:cs="Times New Roman"/>
          <w:sz w:val="24"/>
          <w:szCs w:val="24"/>
          <w:lang w:eastAsia="en-GB"/>
        </w:rPr>
        <w:t xml:space="preserve">The documentation references, and is intended to be read in conjunction with, the Codes of Conduct for the City Council and Parish Councils, as appropriate. </w:t>
      </w:r>
      <w:r w:rsidR="009438E3">
        <w:rPr>
          <w:rFonts w:ascii="Arial" w:eastAsia="Times New Roman" w:hAnsi="Arial" w:cs="Times New Roman"/>
          <w:sz w:val="24"/>
          <w:szCs w:val="24"/>
          <w:lang w:eastAsia="en-GB"/>
        </w:rPr>
        <w:t>The changes to the existing arrangements proposed in this report would not require any revision to the content of</w:t>
      </w:r>
      <w:r>
        <w:rPr>
          <w:rFonts w:ascii="Arial" w:eastAsia="Times New Roman" w:hAnsi="Arial" w:cs="Times New Roman"/>
          <w:sz w:val="24"/>
          <w:szCs w:val="24"/>
          <w:lang w:eastAsia="en-GB"/>
        </w:rPr>
        <w:t xml:space="preserve"> the current Oxford City Council Members’ Code of Conduct.</w:t>
      </w:r>
    </w:p>
    <w:p w:rsidR="00F6579F" w:rsidRPr="00D626BA" w:rsidRDefault="00F6579F" w:rsidP="00B11F3D">
      <w:pPr>
        <w:tabs>
          <w:tab w:val="left" w:pos="426"/>
          <w:tab w:val="left" w:pos="1260"/>
          <w:tab w:val="left" w:pos="1261"/>
        </w:tabs>
        <w:spacing w:after="0" w:line="240" w:lineRule="auto"/>
        <w:rPr>
          <w:rFonts w:ascii="Arial" w:eastAsia="Times New Roman" w:hAnsi="Arial" w:cs="Times New Roman"/>
          <w:b/>
          <w:color w:val="FF0000"/>
          <w:sz w:val="24"/>
          <w:szCs w:val="24"/>
          <w:lang w:eastAsia="en-GB"/>
        </w:rPr>
      </w:pPr>
    </w:p>
    <w:p w:rsidR="00D626BA" w:rsidRPr="00D626BA" w:rsidRDefault="00D626BA" w:rsidP="00B11F3D">
      <w:pPr>
        <w:pStyle w:val="ListParagraph"/>
        <w:numPr>
          <w:ilvl w:val="0"/>
          <w:numId w:val="7"/>
        </w:numPr>
        <w:tabs>
          <w:tab w:val="left" w:pos="426"/>
          <w:tab w:val="left" w:pos="1260"/>
          <w:tab w:val="left" w:pos="1261"/>
        </w:tabs>
        <w:spacing w:after="0" w:line="240" w:lineRule="auto"/>
        <w:rPr>
          <w:rFonts w:ascii="Arial" w:eastAsia="Times New Roman" w:hAnsi="Arial" w:cs="Times New Roman"/>
          <w:b/>
          <w:color w:val="FF0000"/>
          <w:sz w:val="24"/>
          <w:szCs w:val="24"/>
          <w:lang w:eastAsia="en-GB"/>
        </w:rPr>
      </w:pPr>
      <w:r w:rsidRPr="00D626BA">
        <w:rPr>
          <w:rFonts w:ascii="Arial" w:eastAsia="Times New Roman" w:hAnsi="Arial" w:cs="Times New Roman"/>
          <w:sz w:val="24"/>
          <w:szCs w:val="24"/>
          <w:lang w:eastAsia="en-GB"/>
        </w:rPr>
        <w:lastRenderedPageBreak/>
        <w:t>A revised set of the “Complaints Handling Arrangements” documentation</w:t>
      </w:r>
      <w:r>
        <w:rPr>
          <w:rFonts w:ascii="Arial" w:eastAsia="Times New Roman" w:hAnsi="Arial" w:cs="Times New Roman"/>
          <w:sz w:val="24"/>
          <w:szCs w:val="24"/>
          <w:lang w:eastAsia="en-GB"/>
        </w:rPr>
        <w:t xml:space="preserve"> </w:t>
      </w:r>
      <w:r w:rsidRPr="00D626BA">
        <w:rPr>
          <w:rFonts w:ascii="Arial" w:eastAsia="Times New Roman" w:hAnsi="Arial" w:cs="Times New Roman"/>
          <w:sz w:val="24"/>
          <w:szCs w:val="24"/>
          <w:lang w:eastAsia="en-GB"/>
        </w:rPr>
        <w:t xml:space="preserve">is attached at Appendix </w:t>
      </w:r>
      <w:r w:rsidR="00DA4DC1">
        <w:rPr>
          <w:rFonts w:ascii="Arial" w:eastAsia="Times New Roman" w:hAnsi="Arial" w:cs="Times New Roman"/>
          <w:sz w:val="24"/>
          <w:szCs w:val="24"/>
          <w:lang w:eastAsia="en-GB"/>
        </w:rPr>
        <w:t>B</w:t>
      </w:r>
      <w:r w:rsidRPr="00D626BA">
        <w:rPr>
          <w:rFonts w:ascii="Arial" w:eastAsia="Times New Roman" w:hAnsi="Arial" w:cs="Times New Roman"/>
          <w:sz w:val="24"/>
          <w:szCs w:val="24"/>
          <w:lang w:eastAsia="en-GB"/>
        </w:rPr>
        <w:t>.</w:t>
      </w:r>
      <w:r>
        <w:rPr>
          <w:rFonts w:ascii="Arial" w:eastAsia="Times New Roman" w:hAnsi="Arial" w:cs="Times New Roman"/>
          <w:sz w:val="24"/>
          <w:szCs w:val="24"/>
          <w:lang w:eastAsia="en-GB"/>
        </w:rPr>
        <w:t xml:space="preserve"> A detailed explanation for the proposed changes </w:t>
      </w:r>
      <w:r w:rsidR="00D72F3B">
        <w:rPr>
          <w:rFonts w:ascii="Arial" w:eastAsia="Times New Roman" w:hAnsi="Arial" w:cs="Times New Roman"/>
          <w:sz w:val="24"/>
          <w:szCs w:val="24"/>
          <w:lang w:eastAsia="en-GB"/>
        </w:rPr>
        <w:t>is set in the following paragraphs.</w:t>
      </w:r>
    </w:p>
    <w:p w:rsidR="00D626BA" w:rsidRPr="00D626BA" w:rsidRDefault="00D626BA" w:rsidP="0029202A">
      <w:pPr>
        <w:tabs>
          <w:tab w:val="left" w:pos="426"/>
          <w:tab w:val="left" w:pos="1260"/>
          <w:tab w:val="left" w:pos="1261"/>
        </w:tabs>
        <w:spacing w:after="0" w:line="240" w:lineRule="auto"/>
        <w:rPr>
          <w:rFonts w:ascii="Arial" w:eastAsia="Times New Roman" w:hAnsi="Arial" w:cs="Times New Roman"/>
          <w:b/>
          <w:color w:val="FF0000"/>
          <w:sz w:val="24"/>
          <w:szCs w:val="24"/>
          <w:lang w:eastAsia="en-GB"/>
        </w:rPr>
      </w:pPr>
    </w:p>
    <w:p w:rsidR="00144E90" w:rsidRPr="00F35ABF" w:rsidRDefault="00D626BA" w:rsidP="00B11F3D">
      <w:pPr>
        <w:tabs>
          <w:tab w:val="left" w:pos="426"/>
          <w:tab w:val="left" w:pos="1260"/>
          <w:tab w:val="left" w:pos="1261"/>
        </w:tabs>
        <w:spacing w:after="0" w:line="240" w:lineRule="auto"/>
        <w:ind w:left="360"/>
        <w:rPr>
          <w:rFonts w:ascii="Arial" w:eastAsia="Times New Roman" w:hAnsi="Arial" w:cs="Times New Roman"/>
          <w:b/>
          <w:sz w:val="24"/>
          <w:szCs w:val="24"/>
          <w:lang w:eastAsia="en-GB"/>
        </w:rPr>
      </w:pPr>
      <w:r w:rsidRPr="00F35ABF">
        <w:rPr>
          <w:rFonts w:ascii="Arial" w:eastAsia="Times New Roman" w:hAnsi="Arial" w:cs="Times New Roman"/>
          <w:b/>
          <w:sz w:val="24"/>
          <w:szCs w:val="24"/>
          <w:lang w:eastAsia="en-GB"/>
        </w:rPr>
        <w:t xml:space="preserve">The </w:t>
      </w:r>
      <w:r w:rsidR="00144E90" w:rsidRPr="00F35ABF">
        <w:rPr>
          <w:rFonts w:ascii="Arial" w:eastAsia="Times New Roman" w:hAnsi="Arial" w:cs="Times New Roman"/>
          <w:b/>
          <w:sz w:val="24"/>
          <w:szCs w:val="24"/>
          <w:lang w:eastAsia="en-GB"/>
        </w:rPr>
        <w:t>Guidance Document</w:t>
      </w:r>
      <w:r w:rsidRPr="00F35ABF">
        <w:rPr>
          <w:rFonts w:ascii="Arial" w:eastAsia="Times New Roman" w:hAnsi="Arial" w:cs="Times New Roman"/>
          <w:b/>
          <w:sz w:val="24"/>
          <w:szCs w:val="24"/>
          <w:lang w:eastAsia="en-GB"/>
        </w:rPr>
        <w:t xml:space="preserve"> </w:t>
      </w:r>
    </w:p>
    <w:p w:rsidR="007B12AF" w:rsidRPr="00B11F3D" w:rsidRDefault="00611543" w:rsidP="000512B5">
      <w:pPr>
        <w:pStyle w:val="ListParagraph"/>
        <w:numPr>
          <w:ilvl w:val="0"/>
          <w:numId w:val="7"/>
        </w:numPr>
        <w:spacing w:before="120" w:after="0" w:line="240" w:lineRule="auto"/>
        <w:ind w:left="426" w:hanging="426"/>
        <w:rPr>
          <w:rFonts w:ascii="Arial" w:eastAsia="Times New Roman" w:hAnsi="Arial" w:cs="Times New Roman"/>
          <w:sz w:val="24"/>
          <w:szCs w:val="24"/>
          <w:lang w:eastAsia="en-GB"/>
        </w:rPr>
      </w:pPr>
      <w:r w:rsidRPr="00B11F3D">
        <w:rPr>
          <w:rFonts w:ascii="Arial" w:eastAsia="Times New Roman" w:hAnsi="Arial" w:cs="Times New Roman"/>
          <w:sz w:val="24"/>
          <w:szCs w:val="24"/>
          <w:lang w:eastAsia="en-GB"/>
        </w:rPr>
        <w:t xml:space="preserve">The current guidance document is </w:t>
      </w:r>
      <w:r w:rsidR="00C25B43" w:rsidRPr="00B11F3D">
        <w:rPr>
          <w:rFonts w:ascii="Arial" w:eastAsia="Times New Roman" w:hAnsi="Arial" w:cs="Times New Roman"/>
          <w:sz w:val="24"/>
          <w:szCs w:val="24"/>
          <w:lang w:eastAsia="en-GB"/>
        </w:rPr>
        <w:t>intended to explain to a member of the public a) how to make a complaint and b) the Council’s process for dealing with that complaint.  It is also used to explain the arrangements to any councillor who might be the subject of a complaint.</w:t>
      </w:r>
    </w:p>
    <w:p w:rsidR="00EE1BD5" w:rsidRPr="00B11F3D" w:rsidRDefault="00EE1BD5" w:rsidP="00B11F3D">
      <w:pPr>
        <w:pStyle w:val="ListParagraph"/>
        <w:tabs>
          <w:tab w:val="left" w:pos="426"/>
          <w:tab w:val="left" w:pos="1260"/>
          <w:tab w:val="left" w:pos="1261"/>
        </w:tabs>
        <w:spacing w:before="120" w:after="0" w:line="240" w:lineRule="auto"/>
        <w:ind w:left="360"/>
        <w:rPr>
          <w:rFonts w:ascii="Arial" w:eastAsia="Times New Roman" w:hAnsi="Arial" w:cs="Times New Roman"/>
          <w:color w:val="FF0000"/>
          <w:sz w:val="24"/>
          <w:szCs w:val="24"/>
          <w:lang w:eastAsia="en-GB"/>
        </w:rPr>
      </w:pPr>
    </w:p>
    <w:p w:rsidR="00C25B43" w:rsidRPr="00DA4DC1" w:rsidRDefault="00C25B43" w:rsidP="000512B5">
      <w:pPr>
        <w:pStyle w:val="ListParagraph"/>
        <w:numPr>
          <w:ilvl w:val="0"/>
          <w:numId w:val="7"/>
        </w:numPr>
        <w:spacing w:before="120" w:after="0" w:line="240" w:lineRule="auto"/>
        <w:ind w:left="426" w:hanging="426"/>
        <w:rPr>
          <w:rFonts w:ascii="Arial" w:eastAsia="Times New Roman" w:hAnsi="Arial" w:cs="Times New Roman"/>
          <w:color w:val="FF0000"/>
          <w:sz w:val="24"/>
          <w:szCs w:val="24"/>
          <w:lang w:eastAsia="en-GB"/>
        </w:rPr>
      </w:pPr>
      <w:r w:rsidRPr="00B11F3D">
        <w:rPr>
          <w:rFonts w:ascii="Arial" w:eastAsia="Times New Roman" w:hAnsi="Arial" w:cs="Times New Roman"/>
          <w:sz w:val="24"/>
          <w:szCs w:val="24"/>
          <w:lang w:eastAsia="en-GB"/>
        </w:rPr>
        <w:t xml:space="preserve">The current guidance is quite detailed on some aspects of the </w:t>
      </w:r>
      <w:r w:rsidR="00D626BA" w:rsidRPr="00B11F3D">
        <w:rPr>
          <w:rFonts w:ascii="Arial" w:eastAsia="Times New Roman" w:hAnsi="Arial" w:cs="Times New Roman"/>
          <w:sz w:val="24"/>
          <w:szCs w:val="24"/>
          <w:lang w:eastAsia="en-GB"/>
        </w:rPr>
        <w:t xml:space="preserve">complaints </w:t>
      </w:r>
      <w:r w:rsidRPr="00B11F3D">
        <w:rPr>
          <w:rFonts w:ascii="Arial" w:eastAsia="Times New Roman" w:hAnsi="Arial" w:cs="Times New Roman"/>
          <w:sz w:val="24"/>
          <w:szCs w:val="24"/>
          <w:lang w:eastAsia="en-GB"/>
        </w:rPr>
        <w:t xml:space="preserve">process and </w:t>
      </w:r>
      <w:r w:rsidR="00841ACC" w:rsidRPr="00B11F3D">
        <w:rPr>
          <w:rFonts w:ascii="Arial" w:eastAsia="Times New Roman" w:hAnsi="Arial" w:cs="Times New Roman"/>
          <w:sz w:val="24"/>
          <w:szCs w:val="24"/>
          <w:lang w:eastAsia="en-GB"/>
        </w:rPr>
        <w:t>less detailed</w:t>
      </w:r>
      <w:r w:rsidRPr="00B11F3D">
        <w:rPr>
          <w:rFonts w:ascii="Arial" w:eastAsia="Times New Roman" w:hAnsi="Arial" w:cs="Times New Roman"/>
          <w:sz w:val="24"/>
          <w:szCs w:val="24"/>
          <w:lang w:eastAsia="en-GB"/>
        </w:rPr>
        <w:t xml:space="preserve"> on others, for example on the Local Hearing procedure. </w:t>
      </w:r>
      <w:r w:rsidR="002A3D53" w:rsidRPr="00B11F3D">
        <w:rPr>
          <w:rFonts w:ascii="Arial" w:eastAsia="Times New Roman" w:hAnsi="Arial" w:cs="Times New Roman"/>
          <w:sz w:val="24"/>
          <w:szCs w:val="24"/>
          <w:lang w:eastAsia="en-GB"/>
        </w:rPr>
        <w:t>It also introduces unnecessary background information on the Standards Committee and Independent Persons</w:t>
      </w:r>
      <w:r w:rsidRPr="00B11F3D">
        <w:rPr>
          <w:rFonts w:ascii="Arial" w:eastAsia="Times New Roman" w:hAnsi="Arial" w:cs="Times New Roman"/>
          <w:sz w:val="24"/>
          <w:szCs w:val="24"/>
          <w:lang w:eastAsia="en-GB"/>
        </w:rPr>
        <w:t>.</w:t>
      </w:r>
      <w:r w:rsidR="002A3D53" w:rsidRPr="00B11F3D">
        <w:rPr>
          <w:rFonts w:ascii="Arial" w:eastAsia="Times New Roman" w:hAnsi="Arial" w:cs="Times New Roman"/>
          <w:sz w:val="24"/>
          <w:szCs w:val="24"/>
          <w:lang w:eastAsia="en-GB"/>
        </w:rPr>
        <w:t xml:space="preserve"> </w:t>
      </w:r>
      <w:r w:rsidR="00B11F3D" w:rsidRPr="00B11F3D">
        <w:rPr>
          <w:rFonts w:ascii="Arial" w:eastAsia="Times New Roman" w:hAnsi="Arial" w:cs="Times New Roman"/>
          <w:sz w:val="24"/>
          <w:szCs w:val="24"/>
          <w:lang w:eastAsia="en-GB"/>
        </w:rPr>
        <w:t xml:space="preserve">Overall it is considered that the arrangements could provide more clarity to </w:t>
      </w:r>
      <w:r w:rsidR="005E6A6F">
        <w:rPr>
          <w:rFonts w:ascii="Arial" w:eastAsia="Times New Roman" w:hAnsi="Arial" w:cs="Times New Roman"/>
          <w:sz w:val="24"/>
          <w:szCs w:val="24"/>
          <w:lang w:eastAsia="en-GB"/>
        </w:rPr>
        <w:t xml:space="preserve">the public </w:t>
      </w:r>
      <w:r w:rsidR="00B11F3D" w:rsidRPr="00B11F3D">
        <w:rPr>
          <w:rFonts w:ascii="Arial" w:eastAsia="Times New Roman" w:hAnsi="Arial" w:cs="Times New Roman"/>
          <w:sz w:val="24"/>
          <w:szCs w:val="24"/>
          <w:lang w:eastAsia="en-GB"/>
        </w:rPr>
        <w:t xml:space="preserve">and </w:t>
      </w:r>
      <w:r w:rsidR="005E6A6F">
        <w:rPr>
          <w:rFonts w:ascii="Arial" w:eastAsia="Times New Roman" w:hAnsi="Arial" w:cs="Times New Roman"/>
          <w:sz w:val="24"/>
          <w:szCs w:val="24"/>
          <w:lang w:eastAsia="en-GB"/>
        </w:rPr>
        <w:t>councillors</w:t>
      </w:r>
      <w:r w:rsidR="00B11F3D" w:rsidRPr="00B11F3D">
        <w:rPr>
          <w:rFonts w:ascii="Arial" w:eastAsia="Times New Roman" w:hAnsi="Arial" w:cs="Times New Roman"/>
          <w:sz w:val="24"/>
          <w:szCs w:val="24"/>
          <w:lang w:eastAsia="en-GB"/>
        </w:rPr>
        <w:t xml:space="preserve"> about what to expect from the process</w:t>
      </w:r>
      <w:r w:rsidR="005E6A6F">
        <w:rPr>
          <w:rFonts w:ascii="Arial" w:eastAsia="Times New Roman" w:hAnsi="Arial" w:cs="Times New Roman"/>
          <w:sz w:val="24"/>
          <w:szCs w:val="24"/>
          <w:lang w:eastAsia="en-GB"/>
        </w:rPr>
        <w:t xml:space="preserve"> of submitting or being the subject of a complaint</w:t>
      </w:r>
      <w:r w:rsidR="00B11F3D">
        <w:rPr>
          <w:rFonts w:ascii="Arial" w:eastAsia="Times New Roman" w:hAnsi="Arial" w:cs="Times New Roman"/>
          <w:sz w:val="24"/>
          <w:szCs w:val="24"/>
          <w:lang w:eastAsia="en-GB"/>
        </w:rPr>
        <w:t>.</w:t>
      </w:r>
    </w:p>
    <w:p w:rsidR="005E6A6F" w:rsidRPr="005E6A6F" w:rsidRDefault="005E6A6F" w:rsidP="005E6A6F">
      <w:pPr>
        <w:pStyle w:val="ListParagraph"/>
        <w:rPr>
          <w:rFonts w:ascii="Arial" w:eastAsia="Times New Roman" w:hAnsi="Arial" w:cs="Times New Roman"/>
          <w:sz w:val="24"/>
          <w:szCs w:val="24"/>
          <w:lang w:eastAsia="en-GB"/>
        </w:rPr>
      </w:pPr>
    </w:p>
    <w:p w:rsidR="00D72F3B" w:rsidRPr="00B11F3D" w:rsidRDefault="002A3D53" w:rsidP="000512B5">
      <w:pPr>
        <w:pStyle w:val="ListParagraph"/>
        <w:numPr>
          <w:ilvl w:val="0"/>
          <w:numId w:val="7"/>
        </w:numPr>
        <w:spacing w:after="120" w:line="240" w:lineRule="auto"/>
        <w:ind w:left="426" w:hanging="426"/>
        <w:contextualSpacing w:val="0"/>
        <w:rPr>
          <w:rFonts w:ascii="Arial" w:eastAsia="Times New Roman" w:hAnsi="Arial" w:cs="Times New Roman"/>
          <w:sz w:val="24"/>
          <w:szCs w:val="24"/>
          <w:lang w:eastAsia="en-GB"/>
        </w:rPr>
      </w:pPr>
      <w:r w:rsidRPr="00B11F3D">
        <w:rPr>
          <w:rFonts w:ascii="Arial" w:eastAsia="Times New Roman" w:hAnsi="Arial" w:cs="Times New Roman"/>
          <w:sz w:val="24"/>
          <w:szCs w:val="24"/>
          <w:lang w:eastAsia="en-GB"/>
        </w:rPr>
        <w:t xml:space="preserve">The revised </w:t>
      </w:r>
      <w:r w:rsidR="00F35ABF" w:rsidRPr="00B11F3D">
        <w:rPr>
          <w:rFonts w:ascii="Arial" w:eastAsia="Times New Roman" w:hAnsi="Arial" w:cs="Times New Roman"/>
          <w:sz w:val="24"/>
          <w:szCs w:val="24"/>
          <w:lang w:eastAsia="en-GB"/>
        </w:rPr>
        <w:t xml:space="preserve">guidance </w:t>
      </w:r>
      <w:r w:rsidRPr="00B11F3D">
        <w:rPr>
          <w:rFonts w:ascii="Arial" w:eastAsia="Times New Roman" w:hAnsi="Arial" w:cs="Times New Roman"/>
          <w:sz w:val="24"/>
          <w:szCs w:val="24"/>
          <w:lang w:eastAsia="en-GB"/>
        </w:rPr>
        <w:t xml:space="preserve">document has been </w:t>
      </w:r>
      <w:r w:rsidR="007A374E" w:rsidRPr="00B11F3D">
        <w:rPr>
          <w:rFonts w:ascii="Arial" w:eastAsia="Times New Roman" w:hAnsi="Arial" w:cs="Times New Roman"/>
          <w:sz w:val="24"/>
          <w:szCs w:val="24"/>
          <w:lang w:eastAsia="en-GB"/>
        </w:rPr>
        <w:t xml:space="preserve">given a new title (Arrangements for dealing with code of conduct complaints against councillors) and </w:t>
      </w:r>
      <w:r w:rsidR="00D626BA" w:rsidRPr="00B11F3D">
        <w:rPr>
          <w:rFonts w:ascii="Arial" w:eastAsia="Times New Roman" w:hAnsi="Arial" w:cs="Times New Roman"/>
          <w:sz w:val="24"/>
          <w:szCs w:val="24"/>
          <w:lang w:eastAsia="en-GB"/>
        </w:rPr>
        <w:t xml:space="preserve">re-written </w:t>
      </w:r>
      <w:r w:rsidR="00D72F3B" w:rsidRPr="00B11F3D">
        <w:rPr>
          <w:rFonts w:ascii="Arial" w:eastAsia="Times New Roman" w:hAnsi="Arial" w:cs="Times New Roman"/>
          <w:sz w:val="24"/>
          <w:szCs w:val="24"/>
          <w:lang w:eastAsia="en-GB"/>
        </w:rPr>
        <w:t xml:space="preserve">and </w:t>
      </w:r>
      <w:r w:rsidRPr="00B11F3D">
        <w:rPr>
          <w:rFonts w:ascii="Arial" w:eastAsia="Times New Roman" w:hAnsi="Arial" w:cs="Times New Roman"/>
          <w:sz w:val="24"/>
          <w:szCs w:val="24"/>
          <w:lang w:eastAsia="en-GB"/>
        </w:rPr>
        <w:t xml:space="preserve">expanded </w:t>
      </w:r>
      <w:r w:rsidR="007A374E" w:rsidRPr="00B11F3D">
        <w:rPr>
          <w:rFonts w:ascii="Arial" w:eastAsia="Times New Roman" w:hAnsi="Arial" w:cs="Times New Roman"/>
          <w:sz w:val="24"/>
          <w:szCs w:val="24"/>
          <w:lang w:eastAsia="en-GB"/>
        </w:rPr>
        <w:t>as shown below</w:t>
      </w:r>
      <w:r w:rsidR="00D72F3B" w:rsidRPr="00B11F3D">
        <w:rPr>
          <w:rFonts w:ascii="Arial" w:eastAsia="Times New Roman" w:hAnsi="Arial" w:cs="Times New Roman"/>
          <w:sz w:val="24"/>
          <w:szCs w:val="24"/>
          <w:lang w:eastAsia="en-GB"/>
        </w:rPr>
        <w:t>:</w:t>
      </w:r>
    </w:p>
    <w:tbl>
      <w:tblPr>
        <w:tblStyle w:val="TableGrid"/>
        <w:tblW w:w="0" w:type="auto"/>
        <w:tblInd w:w="534" w:type="dxa"/>
        <w:tblLook w:val="04A0" w:firstRow="1" w:lastRow="0" w:firstColumn="1" w:lastColumn="0" w:noHBand="0" w:noVBand="1"/>
      </w:tblPr>
      <w:tblGrid>
        <w:gridCol w:w="1275"/>
        <w:gridCol w:w="1418"/>
        <w:gridCol w:w="6015"/>
      </w:tblGrid>
      <w:tr w:rsidR="00B03512" w:rsidRPr="00F35ABF" w:rsidTr="00DA4DC1">
        <w:tc>
          <w:tcPr>
            <w:tcW w:w="1275" w:type="dxa"/>
          </w:tcPr>
          <w:p w:rsidR="00B03512" w:rsidRPr="000512B5" w:rsidRDefault="00B03512" w:rsidP="0029202A">
            <w:pPr>
              <w:tabs>
                <w:tab w:val="left" w:pos="426"/>
                <w:tab w:val="left" w:pos="1260"/>
                <w:tab w:val="left" w:pos="1261"/>
              </w:tabs>
              <w:spacing w:before="120"/>
              <w:rPr>
                <w:rFonts w:cs="Arial"/>
                <w:sz w:val="24"/>
                <w:szCs w:val="24"/>
              </w:rPr>
            </w:pPr>
            <w:r w:rsidRPr="000512B5">
              <w:rPr>
                <w:rFonts w:cs="Arial"/>
                <w:sz w:val="24"/>
                <w:szCs w:val="24"/>
              </w:rPr>
              <w:t xml:space="preserve">Old version </w:t>
            </w:r>
          </w:p>
        </w:tc>
        <w:tc>
          <w:tcPr>
            <w:tcW w:w="1418" w:type="dxa"/>
          </w:tcPr>
          <w:p w:rsidR="00B03512" w:rsidRPr="000512B5" w:rsidRDefault="00B03512" w:rsidP="00A21842">
            <w:pPr>
              <w:tabs>
                <w:tab w:val="left" w:pos="426"/>
                <w:tab w:val="left" w:pos="1260"/>
                <w:tab w:val="left" w:pos="1261"/>
              </w:tabs>
              <w:spacing w:before="120"/>
              <w:rPr>
                <w:rFonts w:cs="Arial"/>
                <w:sz w:val="24"/>
                <w:szCs w:val="24"/>
              </w:rPr>
            </w:pPr>
            <w:r w:rsidRPr="000512B5">
              <w:rPr>
                <w:rFonts w:cs="Arial"/>
                <w:sz w:val="24"/>
                <w:szCs w:val="24"/>
              </w:rPr>
              <w:t>New version</w:t>
            </w:r>
          </w:p>
        </w:tc>
        <w:tc>
          <w:tcPr>
            <w:tcW w:w="6015" w:type="dxa"/>
          </w:tcPr>
          <w:p w:rsidR="00B03512" w:rsidRPr="000512B5" w:rsidRDefault="00B03512">
            <w:pPr>
              <w:tabs>
                <w:tab w:val="left" w:pos="426"/>
                <w:tab w:val="left" w:pos="1260"/>
                <w:tab w:val="left" w:pos="1261"/>
              </w:tabs>
              <w:spacing w:before="120"/>
              <w:rPr>
                <w:rFonts w:cs="Arial"/>
                <w:sz w:val="24"/>
                <w:szCs w:val="24"/>
              </w:rPr>
            </w:pPr>
            <w:r w:rsidRPr="000512B5">
              <w:rPr>
                <w:rFonts w:cs="Arial"/>
                <w:sz w:val="24"/>
                <w:szCs w:val="24"/>
              </w:rPr>
              <w:t>Comment</w:t>
            </w:r>
          </w:p>
        </w:tc>
      </w:tr>
      <w:tr w:rsidR="00AD28DD" w:rsidRPr="00F35ABF" w:rsidTr="00DA4DC1">
        <w:tc>
          <w:tcPr>
            <w:tcW w:w="1275" w:type="dxa"/>
          </w:tcPr>
          <w:p w:rsidR="00AD28DD" w:rsidRPr="000512B5" w:rsidRDefault="00AD28DD" w:rsidP="0029202A">
            <w:pPr>
              <w:tabs>
                <w:tab w:val="left" w:pos="426"/>
                <w:tab w:val="left" w:pos="1260"/>
                <w:tab w:val="left" w:pos="1261"/>
              </w:tabs>
              <w:spacing w:before="120"/>
              <w:rPr>
                <w:rFonts w:cs="Arial"/>
                <w:sz w:val="24"/>
                <w:szCs w:val="24"/>
              </w:rPr>
            </w:pPr>
            <w:r w:rsidRPr="000512B5">
              <w:rPr>
                <w:rFonts w:cs="Arial"/>
                <w:sz w:val="24"/>
                <w:szCs w:val="24"/>
              </w:rPr>
              <w:t>1</w:t>
            </w:r>
          </w:p>
        </w:tc>
        <w:tc>
          <w:tcPr>
            <w:tcW w:w="1418" w:type="dxa"/>
            <w:vMerge w:val="restart"/>
          </w:tcPr>
          <w:p w:rsidR="00AD28DD" w:rsidRPr="000512B5" w:rsidRDefault="00AD28DD" w:rsidP="00A21842">
            <w:pPr>
              <w:tabs>
                <w:tab w:val="left" w:pos="426"/>
                <w:tab w:val="left" w:pos="1260"/>
                <w:tab w:val="left" w:pos="1261"/>
              </w:tabs>
              <w:spacing w:before="120"/>
              <w:rPr>
                <w:rFonts w:cs="Arial"/>
                <w:sz w:val="24"/>
                <w:szCs w:val="24"/>
              </w:rPr>
            </w:pPr>
            <w:r w:rsidRPr="000512B5">
              <w:rPr>
                <w:rFonts w:cs="Arial"/>
                <w:sz w:val="24"/>
                <w:szCs w:val="24"/>
              </w:rPr>
              <w:t>1</w:t>
            </w:r>
          </w:p>
        </w:tc>
        <w:tc>
          <w:tcPr>
            <w:tcW w:w="6015" w:type="dxa"/>
            <w:vMerge w:val="restart"/>
          </w:tcPr>
          <w:p w:rsidR="00AD28DD" w:rsidRPr="000512B5" w:rsidRDefault="00AD28DD">
            <w:pPr>
              <w:tabs>
                <w:tab w:val="left" w:pos="426"/>
                <w:tab w:val="left" w:pos="1260"/>
                <w:tab w:val="left" w:pos="1261"/>
              </w:tabs>
              <w:spacing w:before="120"/>
              <w:rPr>
                <w:rFonts w:cs="Arial"/>
                <w:sz w:val="24"/>
                <w:szCs w:val="24"/>
              </w:rPr>
            </w:pPr>
            <w:r w:rsidRPr="000512B5">
              <w:rPr>
                <w:rFonts w:cs="Arial"/>
                <w:sz w:val="24"/>
                <w:szCs w:val="24"/>
              </w:rPr>
              <w:t>Sections combined.  Minor rewording.</w:t>
            </w:r>
          </w:p>
        </w:tc>
      </w:tr>
      <w:tr w:rsidR="00AD28DD" w:rsidRPr="00F35ABF" w:rsidTr="00DA4DC1">
        <w:tc>
          <w:tcPr>
            <w:tcW w:w="1275" w:type="dxa"/>
          </w:tcPr>
          <w:p w:rsidR="00AD28DD" w:rsidRPr="000512B5" w:rsidRDefault="00AD28DD" w:rsidP="0029202A">
            <w:pPr>
              <w:tabs>
                <w:tab w:val="left" w:pos="426"/>
                <w:tab w:val="left" w:pos="1260"/>
                <w:tab w:val="left" w:pos="1261"/>
              </w:tabs>
              <w:spacing w:before="120"/>
              <w:rPr>
                <w:rFonts w:cs="Arial"/>
                <w:sz w:val="24"/>
                <w:szCs w:val="24"/>
              </w:rPr>
            </w:pPr>
            <w:r w:rsidRPr="000512B5">
              <w:rPr>
                <w:rFonts w:cs="Arial"/>
                <w:sz w:val="24"/>
                <w:szCs w:val="24"/>
              </w:rPr>
              <w:t xml:space="preserve">2 </w:t>
            </w:r>
          </w:p>
        </w:tc>
        <w:tc>
          <w:tcPr>
            <w:tcW w:w="1418" w:type="dxa"/>
            <w:vMerge/>
          </w:tcPr>
          <w:p w:rsidR="00AD28DD" w:rsidRPr="000512B5" w:rsidRDefault="00AD28DD">
            <w:pPr>
              <w:tabs>
                <w:tab w:val="left" w:pos="426"/>
                <w:tab w:val="left" w:pos="1260"/>
                <w:tab w:val="left" w:pos="1261"/>
              </w:tabs>
              <w:spacing w:before="120"/>
              <w:rPr>
                <w:rFonts w:cs="Arial"/>
                <w:sz w:val="24"/>
                <w:szCs w:val="24"/>
              </w:rPr>
            </w:pPr>
          </w:p>
        </w:tc>
        <w:tc>
          <w:tcPr>
            <w:tcW w:w="6015" w:type="dxa"/>
            <w:vMerge/>
          </w:tcPr>
          <w:p w:rsidR="00AD28DD" w:rsidRPr="000512B5" w:rsidRDefault="00AD28DD">
            <w:pPr>
              <w:tabs>
                <w:tab w:val="left" w:pos="426"/>
                <w:tab w:val="left" w:pos="1260"/>
                <w:tab w:val="left" w:pos="1261"/>
              </w:tabs>
              <w:spacing w:before="120"/>
              <w:rPr>
                <w:rFonts w:cs="Arial"/>
                <w:sz w:val="24"/>
                <w:szCs w:val="24"/>
              </w:rPr>
            </w:pPr>
          </w:p>
        </w:tc>
      </w:tr>
      <w:tr w:rsidR="00B03512" w:rsidRPr="00F35ABF" w:rsidTr="00DA4DC1">
        <w:tc>
          <w:tcPr>
            <w:tcW w:w="1275" w:type="dxa"/>
          </w:tcPr>
          <w:p w:rsidR="00B03512" w:rsidRPr="000512B5" w:rsidRDefault="00B03512" w:rsidP="0029202A">
            <w:pPr>
              <w:tabs>
                <w:tab w:val="left" w:pos="426"/>
                <w:tab w:val="left" w:pos="1260"/>
                <w:tab w:val="left" w:pos="1261"/>
              </w:tabs>
              <w:spacing w:before="120"/>
              <w:rPr>
                <w:rFonts w:cs="Arial"/>
                <w:sz w:val="24"/>
                <w:szCs w:val="24"/>
              </w:rPr>
            </w:pPr>
            <w:r w:rsidRPr="000512B5">
              <w:rPr>
                <w:rFonts w:cs="Arial"/>
                <w:sz w:val="24"/>
                <w:szCs w:val="24"/>
              </w:rPr>
              <w:t xml:space="preserve">3 </w:t>
            </w:r>
          </w:p>
        </w:tc>
        <w:tc>
          <w:tcPr>
            <w:tcW w:w="1418" w:type="dxa"/>
          </w:tcPr>
          <w:p w:rsidR="00B03512" w:rsidRPr="000512B5" w:rsidRDefault="00AD28DD" w:rsidP="00A21842">
            <w:pPr>
              <w:tabs>
                <w:tab w:val="left" w:pos="426"/>
                <w:tab w:val="left" w:pos="1260"/>
                <w:tab w:val="left" w:pos="1261"/>
              </w:tabs>
              <w:spacing w:before="120"/>
              <w:rPr>
                <w:rFonts w:cs="Arial"/>
                <w:sz w:val="24"/>
                <w:szCs w:val="24"/>
              </w:rPr>
            </w:pPr>
            <w:r w:rsidRPr="000512B5">
              <w:rPr>
                <w:rFonts w:cs="Arial"/>
                <w:sz w:val="24"/>
                <w:szCs w:val="24"/>
              </w:rPr>
              <w:t>2</w:t>
            </w:r>
          </w:p>
        </w:tc>
        <w:tc>
          <w:tcPr>
            <w:tcW w:w="6015" w:type="dxa"/>
          </w:tcPr>
          <w:p w:rsidR="00B03512" w:rsidRPr="000512B5" w:rsidRDefault="00AD28DD">
            <w:pPr>
              <w:tabs>
                <w:tab w:val="left" w:pos="426"/>
                <w:tab w:val="left" w:pos="1260"/>
                <w:tab w:val="left" w:pos="1261"/>
              </w:tabs>
              <w:spacing w:before="120"/>
              <w:rPr>
                <w:rFonts w:cs="Arial"/>
                <w:sz w:val="24"/>
                <w:szCs w:val="24"/>
              </w:rPr>
            </w:pPr>
            <w:r w:rsidRPr="000512B5">
              <w:rPr>
                <w:rFonts w:cs="Arial"/>
                <w:sz w:val="24"/>
                <w:szCs w:val="24"/>
              </w:rPr>
              <w:t xml:space="preserve">Updated / reformatting / some change </w:t>
            </w:r>
            <w:r w:rsidR="007A374E" w:rsidRPr="000512B5">
              <w:rPr>
                <w:rFonts w:cs="Arial"/>
                <w:sz w:val="24"/>
                <w:szCs w:val="24"/>
              </w:rPr>
              <w:t>t</w:t>
            </w:r>
            <w:r w:rsidRPr="000512B5">
              <w:rPr>
                <w:rFonts w:cs="Arial"/>
                <w:sz w:val="24"/>
                <w:szCs w:val="24"/>
              </w:rPr>
              <w:t xml:space="preserve">o </w:t>
            </w:r>
            <w:r w:rsidR="007A374E" w:rsidRPr="000512B5">
              <w:rPr>
                <w:rFonts w:cs="Arial"/>
                <w:sz w:val="24"/>
                <w:szCs w:val="24"/>
              </w:rPr>
              <w:t>content for clarification</w:t>
            </w:r>
          </w:p>
        </w:tc>
      </w:tr>
      <w:tr w:rsidR="007A374E" w:rsidRPr="00F35ABF" w:rsidTr="00DA4DC1">
        <w:tc>
          <w:tcPr>
            <w:tcW w:w="1275" w:type="dxa"/>
            <w:shd w:val="clear" w:color="auto" w:fill="D9D9D9" w:themeFill="background1" w:themeFillShade="D9"/>
          </w:tcPr>
          <w:p w:rsidR="007A374E" w:rsidRPr="000512B5" w:rsidRDefault="007A374E" w:rsidP="0029202A">
            <w:pPr>
              <w:tabs>
                <w:tab w:val="left" w:pos="426"/>
                <w:tab w:val="left" w:pos="1260"/>
                <w:tab w:val="left" w:pos="1261"/>
              </w:tabs>
              <w:spacing w:before="120"/>
              <w:rPr>
                <w:rFonts w:cs="Arial"/>
                <w:sz w:val="24"/>
                <w:szCs w:val="24"/>
              </w:rPr>
            </w:pPr>
          </w:p>
        </w:tc>
        <w:tc>
          <w:tcPr>
            <w:tcW w:w="1418" w:type="dxa"/>
          </w:tcPr>
          <w:p w:rsidR="007A374E" w:rsidRPr="000512B5" w:rsidRDefault="007A374E" w:rsidP="00A21842">
            <w:pPr>
              <w:tabs>
                <w:tab w:val="left" w:pos="426"/>
                <w:tab w:val="left" w:pos="1260"/>
                <w:tab w:val="left" w:pos="1261"/>
              </w:tabs>
              <w:spacing w:before="120"/>
              <w:rPr>
                <w:rFonts w:cs="Arial"/>
                <w:sz w:val="24"/>
                <w:szCs w:val="24"/>
              </w:rPr>
            </w:pPr>
            <w:r w:rsidRPr="000512B5">
              <w:rPr>
                <w:rFonts w:cs="Arial"/>
                <w:sz w:val="24"/>
                <w:szCs w:val="24"/>
              </w:rPr>
              <w:t>3</w:t>
            </w:r>
          </w:p>
        </w:tc>
        <w:tc>
          <w:tcPr>
            <w:tcW w:w="6015" w:type="dxa"/>
          </w:tcPr>
          <w:p w:rsidR="007A374E" w:rsidRPr="000512B5" w:rsidRDefault="007A374E">
            <w:pPr>
              <w:tabs>
                <w:tab w:val="left" w:pos="426"/>
                <w:tab w:val="left" w:pos="1260"/>
                <w:tab w:val="left" w:pos="1261"/>
              </w:tabs>
              <w:spacing w:before="120"/>
              <w:rPr>
                <w:rFonts w:cs="Arial"/>
                <w:sz w:val="24"/>
                <w:szCs w:val="24"/>
              </w:rPr>
            </w:pPr>
            <w:r w:rsidRPr="000512B5">
              <w:rPr>
                <w:rFonts w:cs="Arial"/>
                <w:sz w:val="24"/>
                <w:szCs w:val="24"/>
              </w:rPr>
              <w:t>New content to provide context and general explanation of the complaint process</w:t>
            </w:r>
          </w:p>
        </w:tc>
      </w:tr>
      <w:tr w:rsidR="00B03512" w:rsidRPr="00F35ABF" w:rsidTr="00DA4DC1">
        <w:tc>
          <w:tcPr>
            <w:tcW w:w="1275" w:type="dxa"/>
          </w:tcPr>
          <w:p w:rsidR="00B03512" w:rsidRPr="000512B5" w:rsidRDefault="00B03512" w:rsidP="0029202A">
            <w:pPr>
              <w:tabs>
                <w:tab w:val="left" w:pos="426"/>
                <w:tab w:val="left" w:pos="1260"/>
                <w:tab w:val="left" w:pos="1261"/>
              </w:tabs>
              <w:spacing w:before="120"/>
              <w:rPr>
                <w:rFonts w:cs="Arial"/>
                <w:sz w:val="24"/>
                <w:szCs w:val="24"/>
              </w:rPr>
            </w:pPr>
            <w:r w:rsidRPr="000512B5">
              <w:rPr>
                <w:rFonts w:cs="Arial"/>
                <w:sz w:val="24"/>
                <w:szCs w:val="24"/>
              </w:rPr>
              <w:t xml:space="preserve">4 </w:t>
            </w:r>
          </w:p>
        </w:tc>
        <w:tc>
          <w:tcPr>
            <w:tcW w:w="1418" w:type="dxa"/>
          </w:tcPr>
          <w:p w:rsidR="00B03512" w:rsidRPr="000512B5" w:rsidRDefault="00AD28DD" w:rsidP="00A21842">
            <w:pPr>
              <w:tabs>
                <w:tab w:val="left" w:pos="426"/>
                <w:tab w:val="left" w:pos="1260"/>
                <w:tab w:val="left" w:pos="1261"/>
              </w:tabs>
              <w:spacing w:before="120"/>
              <w:rPr>
                <w:rFonts w:cs="Arial"/>
                <w:sz w:val="24"/>
                <w:szCs w:val="24"/>
              </w:rPr>
            </w:pPr>
            <w:r w:rsidRPr="000512B5">
              <w:rPr>
                <w:rFonts w:cs="Arial"/>
                <w:sz w:val="24"/>
                <w:szCs w:val="24"/>
              </w:rPr>
              <w:t>4</w:t>
            </w:r>
          </w:p>
        </w:tc>
        <w:tc>
          <w:tcPr>
            <w:tcW w:w="6015" w:type="dxa"/>
          </w:tcPr>
          <w:p w:rsidR="00B03512" w:rsidRPr="000512B5" w:rsidRDefault="007A374E">
            <w:pPr>
              <w:tabs>
                <w:tab w:val="left" w:pos="426"/>
                <w:tab w:val="left" w:pos="1260"/>
                <w:tab w:val="left" w:pos="1261"/>
              </w:tabs>
              <w:spacing w:before="120"/>
              <w:rPr>
                <w:rFonts w:cs="Arial"/>
                <w:sz w:val="24"/>
                <w:szCs w:val="24"/>
              </w:rPr>
            </w:pPr>
            <w:r w:rsidRPr="000512B5">
              <w:rPr>
                <w:rFonts w:cs="Arial"/>
                <w:sz w:val="24"/>
                <w:szCs w:val="24"/>
              </w:rPr>
              <w:t>Updated / some change to content for clarification</w:t>
            </w:r>
            <w:r w:rsidR="009B021D" w:rsidRPr="000512B5">
              <w:rPr>
                <w:rFonts w:cs="Arial"/>
                <w:sz w:val="24"/>
                <w:szCs w:val="24"/>
              </w:rPr>
              <w:t xml:space="preserve"> and includes proposed assessment criteria</w:t>
            </w:r>
          </w:p>
        </w:tc>
      </w:tr>
      <w:tr w:rsidR="00B03512" w:rsidRPr="00F35ABF" w:rsidTr="00DA4DC1">
        <w:tc>
          <w:tcPr>
            <w:tcW w:w="1275" w:type="dxa"/>
          </w:tcPr>
          <w:p w:rsidR="00B03512" w:rsidRPr="000512B5" w:rsidRDefault="00B03512" w:rsidP="0029202A">
            <w:pPr>
              <w:tabs>
                <w:tab w:val="left" w:pos="426"/>
                <w:tab w:val="left" w:pos="1260"/>
                <w:tab w:val="left" w:pos="1261"/>
              </w:tabs>
              <w:spacing w:before="120"/>
              <w:rPr>
                <w:rFonts w:cs="Arial"/>
                <w:sz w:val="24"/>
                <w:szCs w:val="24"/>
              </w:rPr>
            </w:pPr>
            <w:r w:rsidRPr="000512B5">
              <w:rPr>
                <w:rFonts w:cs="Arial"/>
                <w:sz w:val="24"/>
                <w:szCs w:val="24"/>
              </w:rPr>
              <w:t xml:space="preserve">5 </w:t>
            </w:r>
          </w:p>
        </w:tc>
        <w:tc>
          <w:tcPr>
            <w:tcW w:w="1418" w:type="dxa"/>
          </w:tcPr>
          <w:p w:rsidR="00B03512" w:rsidRPr="000512B5" w:rsidRDefault="00B03512" w:rsidP="00A21842">
            <w:pPr>
              <w:tabs>
                <w:tab w:val="left" w:pos="426"/>
                <w:tab w:val="left" w:pos="1260"/>
                <w:tab w:val="left" w:pos="1261"/>
              </w:tabs>
              <w:spacing w:before="120"/>
              <w:rPr>
                <w:rFonts w:cs="Arial"/>
                <w:sz w:val="24"/>
                <w:szCs w:val="24"/>
              </w:rPr>
            </w:pPr>
            <w:r w:rsidRPr="000512B5">
              <w:rPr>
                <w:rFonts w:cs="Arial"/>
                <w:sz w:val="24"/>
                <w:szCs w:val="24"/>
              </w:rPr>
              <w:t>5</w:t>
            </w:r>
          </w:p>
        </w:tc>
        <w:tc>
          <w:tcPr>
            <w:tcW w:w="6015" w:type="dxa"/>
          </w:tcPr>
          <w:p w:rsidR="00B03512" w:rsidRPr="000512B5" w:rsidRDefault="00AD28DD">
            <w:pPr>
              <w:tabs>
                <w:tab w:val="left" w:pos="426"/>
                <w:tab w:val="left" w:pos="1260"/>
                <w:tab w:val="left" w:pos="1261"/>
              </w:tabs>
              <w:spacing w:before="120"/>
              <w:rPr>
                <w:rFonts w:cs="Arial"/>
                <w:sz w:val="24"/>
                <w:szCs w:val="24"/>
              </w:rPr>
            </w:pPr>
            <w:r w:rsidRPr="000512B5">
              <w:rPr>
                <w:rFonts w:cs="Arial"/>
                <w:sz w:val="24"/>
                <w:szCs w:val="24"/>
              </w:rPr>
              <w:t>Minor rewording</w:t>
            </w:r>
          </w:p>
        </w:tc>
      </w:tr>
      <w:tr w:rsidR="00B03512" w:rsidRPr="00F35ABF" w:rsidTr="00DA4DC1">
        <w:tc>
          <w:tcPr>
            <w:tcW w:w="1275" w:type="dxa"/>
          </w:tcPr>
          <w:p w:rsidR="00B03512" w:rsidRPr="000512B5" w:rsidRDefault="00B03512" w:rsidP="0029202A">
            <w:pPr>
              <w:tabs>
                <w:tab w:val="left" w:pos="426"/>
                <w:tab w:val="left" w:pos="1260"/>
                <w:tab w:val="left" w:pos="1261"/>
              </w:tabs>
              <w:spacing w:before="120"/>
              <w:rPr>
                <w:rFonts w:cs="Arial"/>
                <w:sz w:val="24"/>
                <w:szCs w:val="24"/>
              </w:rPr>
            </w:pPr>
            <w:r w:rsidRPr="000512B5">
              <w:rPr>
                <w:rFonts w:cs="Arial"/>
                <w:sz w:val="24"/>
                <w:szCs w:val="24"/>
              </w:rPr>
              <w:t xml:space="preserve">6 </w:t>
            </w:r>
          </w:p>
        </w:tc>
        <w:tc>
          <w:tcPr>
            <w:tcW w:w="1418" w:type="dxa"/>
          </w:tcPr>
          <w:p w:rsidR="00B03512" w:rsidRPr="000512B5" w:rsidRDefault="00B03512" w:rsidP="00A21842">
            <w:pPr>
              <w:tabs>
                <w:tab w:val="left" w:pos="426"/>
                <w:tab w:val="left" w:pos="1260"/>
                <w:tab w:val="left" w:pos="1261"/>
              </w:tabs>
              <w:spacing w:before="120"/>
              <w:rPr>
                <w:rFonts w:cs="Arial"/>
                <w:sz w:val="24"/>
                <w:szCs w:val="24"/>
              </w:rPr>
            </w:pPr>
            <w:r w:rsidRPr="000512B5">
              <w:rPr>
                <w:rFonts w:cs="Arial"/>
                <w:sz w:val="24"/>
                <w:szCs w:val="24"/>
              </w:rPr>
              <w:t>6</w:t>
            </w:r>
          </w:p>
        </w:tc>
        <w:tc>
          <w:tcPr>
            <w:tcW w:w="6015" w:type="dxa"/>
          </w:tcPr>
          <w:p w:rsidR="00B03512" w:rsidRPr="000512B5" w:rsidRDefault="00AD28DD">
            <w:pPr>
              <w:tabs>
                <w:tab w:val="left" w:pos="426"/>
                <w:tab w:val="left" w:pos="1260"/>
                <w:tab w:val="left" w:pos="1261"/>
              </w:tabs>
              <w:spacing w:before="120"/>
              <w:rPr>
                <w:rFonts w:cs="Arial"/>
                <w:sz w:val="24"/>
                <w:szCs w:val="24"/>
              </w:rPr>
            </w:pPr>
            <w:r w:rsidRPr="000512B5">
              <w:rPr>
                <w:rFonts w:cs="Arial"/>
                <w:sz w:val="24"/>
                <w:szCs w:val="24"/>
              </w:rPr>
              <w:t>No change to content / reformatting only</w:t>
            </w:r>
          </w:p>
        </w:tc>
      </w:tr>
      <w:tr w:rsidR="00B03512" w:rsidRPr="00F35ABF" w:rsidTr="00DA4DC1">
        <w:tc>
          <w:tcPr>
            <w:tcW w:w="1275" w:type="dxa"/>
          </w:tcPr>
          <w:p w:rsidR="00B03512" w:rsidRPr="000512B5" w:rsidRDefault="00B03512" w:rsidP="0029202A">
            <w:pPr>
              <w:tabs>
                <w:tab w:val="left" w:pos="426"/>
                <w:tab w:val="left" w:pos="1260"/>
                <w:tab w:val="left" w:pos="1261"/>
              </w:tabs>
              <w:spacing w:before="120"/>
              <w:rPr>
                <w:rFonts w:cs="Arial"/>
                <w:sz w:val="24"/>
                <w:szCs w:val="24"/>
              </w:rPr>
            </w:pPr>
            <w:r w:rsidRPr="000512B5">
              <w:rPr>
                <w:rFonts w:cs="Arial"/>
                <w:sz w:val="24"/>
                <w:szCs w:val="24"/>
              </w:rPr>
              <w:t>7</w:t>
            </w:r>
          </w:p>
        </w:tc>
        <w:tc>
          <w:tcPr>
            <w:tcW w:w="1418" w:type="dxa"/>
          </w:tcPr>
          <w:p w:rsidR="00B03512" w:rsidRPr="000512B5" w:rsidRDefault="00B03512" w:rsidP="00A21842">
            <w:pPr>
              <w:tabs>
                <w:tab w:val="left" w:pos="426"/>
                <w:tab w:val="left" w:pos="1260"/>
                <w:tab w:val="left" w:pos="1261"/>
              </w:tabs>
              <w:spacing w:before="120"/>
              <w:rPr>
                <w:rFonts w:cs="Arial"/>
                <w:sz w:val="24"/>
                <w:szCs w:val="24"/>
              </w:rPr>
            </w:pPr>
            <w:r w:rsidRPr="000512B5">
              <w:rPr>
                <w:rFonts w:cs="Arial"/>
                <w:sz w:val="24"/>
                <w:szCs w:val="24"/>
              </w:rPr>
              <w:t>7</w:t>
            </w:r>
            <w:r w:rsidR="00AD28DD" w:rsidRPr="000512B5">
              <w:rPr>
                <w:rFonts w:cs="Arial"/>
                <w:sz w:val="24"/>
                <w:szCs w:val="24"/>
              </w:rPr>
              <w:t xml:space="preserve"> </w:t>
            </w:r>
          </w:p>
        </w:tc>
        <w:tc>
          <w:tcPr>
            <w:tcW w:w="6015" w:type="dxa"/>
          </w:tcPr>
          <w:p w:rsidR="00AD28DD" w:rsidRPr="000512B5" w:rsidRDefault="00AD28DD">
            <w:pPr>
              <w:tabs>
                <w:tab w:val="left" w:pos="426"/>
                <w:tab w:val="left" w:pos="1260"/>
                <w:tab w:val="left" w:pos="1261"/>
              </w:tabs>
              <w:spacing w:before="120"/>
              <w:rPr>
                <w:rFonts w:cs="Arial"/>
                <w:sz w:val="24"/>
                <w:szCs w:val="24"/>
              </w:rPr>
            </w:pPr>
            <w:r w:rsidRPr="000512B5">
              <w:rPr>
                <w:rFonts w:cs="Arial"/>
                <w:sz w:val="24"/>
                <w:szCs w:val="24"/>
              </w:rPr>
              <w:t xml:space="preserve">Minor rewording / reformatting only </w:t>
            </w:r>
          </w:p>
          <w:p w:rsidR="00B03512" w:rsidRPr="000512B5" w:rsidRDefault="00AD28DD">
            <w:pPr>
              <w:tabs>
                <w:tab w:val="left" w:pos="426"/>
                <w:tab w:val="left" w:pos="1260"/>
                <w:tab w:val="left" w:pos="1261"/>
              </w:tabs>
              <w:rPr>
                <w:rFonts w:cs="Arial"/>
                <w:sz w:val="24"/>
                <w:szCs w:val="24"/>
              </w:rPr>
            </w:pPr>
            <w:r w:rsidRPr="000512B5">
              <w:rPr>
                <w:rFonts w:cs="Arial"/>
                <w:sz w:val="24"/>
                <w:szCs w:val="24"/>
              </w:rPr>
              <w:t>Some content on Local Hearings moved to Appendix 3</w:t>
            </w:r>
          </w:p>
        </w:tc>
      </w:tr>
      <w:tr w:rsidR="00AD28DD" w:rsidRPr="00F35ABF" w:rsidTr="00DA4DC1">
        <w:tc>
          <w:tcPr>
            <w:tcW w:w="1275" w:type="dxa"/>
          </w:tcPr>
          <w:p w:rsidR="00AD28DD" w:rsidRPr="000512B5" w:rsidRDefault="00AD28DD" w:rsidP="0029202A">
            <w:pPr>
              <w:tabs>
                <w:tab w:val="left" w:pos="426"/>
                <w:tab w:val="left" w:pos="1260"/>
                <w:tab w:val="left" w:pos="1261"/>
              </w:tabs>
              <w:spacing w:before="120"/>
              <w:rPr>
                <w:rFonts w:cs="Arial"/>
                <w:sz w:val="24"/>
                <w:szCs w:val="24"/>
              </w:rPr>
            </w:pPr>
            <w:r w:rsidRPr="000512B5">
              <w:rPr>
                <w:rFonts w:cs="Arial"/>
                <w:sz w:val="24"/>
                <w:szCs w:val="24"/>
              </w:rPr>
              <w:t>8</w:t>
            </w:r>
          </w:p>
        </w:tc>
        <w:tc>
          <w:tcPr>
            <w:tcW w:w="1418" w:type="dxa"/>
            <w:vMerge w:val="restart"/>
          </w:tcPr>
          <w:p w:rsidR="00AD28DD" w:rsidRPr="000512B5" w:rsidRDefault="00AD28DD" w:rsidP="00A21842">
            <w:pPr>
              <w:tabs>
                <w:tab w:val="left" w:pos="426"/>
                <w:tab w:val="left" w:pos="1260"/>
                <w:tab w:val="left" w:pos="1261"/>
              </w:tabs>
              <w:spacing w:before="120"/>
              <w:rPr>
                <w:rFonts w:cs="Arial"/>
                <w:sz w:val="24"/>
                <w:szCs w:val="24"/>
              </w:rPr>
            </w:pPr>
            <w:r w:rsidRPr="000512B5">
              <w:rPr>
                <w:rFonts w:cs="Arial"/>
                <w:sz w:val="24"/>
                <w:szCs w:val="24"/>
              </w:rPr>
              <w:t>8</w:t>
            </w:r>
          </w:p>
        </w:tc>
        <w:tc>
          <w:tcPr>
            <w:tcW w:w="6015" w:type="dxa"/>
            <w:vMerge w:val="restart"/>
          </w:tcPr>
          <w:p w:rsidR="00AD28DD" w:rsidRPr="000512B5" w:rsidRDefault="00AD28DD">
            <w:pPr>
              <w:tabs>
                <w:tab w:val="left" w:pos="426"/>
                <w:tab w:val="left" w:pos="1260"/>
                <w:tab w:val="left" w:pos="1261"/>
              </w:tabs>
              <w:spacing w:before="120"/>
              <w:rPr>
                <w:rFonts w:cs="Arial"/>
                <w:sz w:val="24"/>
                <w:szCs w:val="24"/>
              </w:rPr>
            </w:pPr>
            <w:r w:rsidRPr="000512B5">
              <w:rPr>
                <w:rFonts w:cs="Arial"/>
                <w:sz w:val="24"/>
                <w:szCs w:val="24"/>
              </w:rPr>
              <w:t>Sections combined.  Minor rewording.</w:t>
            </w:r>
          </w:p>
        </w:tc>
      </w:tr>
      <w:tr w:rsidR="00AD28DD" w:rsidRPr="00F35ABF" w:rsidTr="00DA4DC1">
        <w:tc>
          <w:tcPr>
            <w:tcW w:w="1275" w:type="dxa"/>
          </w:tcPr>
          <w:p w:rsidR="00AD28DD" w:rsidRPr="000512B5" w:rsidRDefault="00AD28DD" w:rsidP="0029202A">
            <w:pPr>
              <w:tabs>
                <w:tab w:val="left" w:pos="426"/>
                <w:tab w:val="left" w:pos="1260"/>
                <w:tab w:val="left" w:pos="1261"/>
              </w:tabs>
              <w:spacing w:before="120"/>
              <w:rPr>
                <w:rFonts w:cs="Arial"/>
                <w:sz w:val="24"/>
                <w:szCs w:val="24"/>
              </w:rPr>
            </w:pPr>
            <w:r w:rsidRPr="000512B5">
              <w:rPr>
                <w:rFonts w:cs="Arial"/>
                <w:sz w:val="24"/>
                <w:szCs w:val="24"/>
              </w:rPr>
              <w:t>9</w:t>
            </w:r>
          </w:p>
        </w:tc>
        <w:tc>
          <w:tcPr>
            <w:tcW w:w="1418" w:type="dxa"/>
            <w:vMerge/>
          </w:tcPr>
          <w:p w:rsidR="00AD28DD" w:rsidRPr="000512B5" w:rsidRDefault="00AD28DD">
            <w:pPr>
              <w:tabs>
                <w:tab w:val="left" w:pos="426"/>
                <w:tab w:val="left" w:pos="1260"/>
                <w:tab w:val="left" w:pos="1261"/>
              </w:tabs>
              <w:spacing w:before="120"/>
              <w:rPr>
                <w:rFonts w:cs="Arial"/>
                <w:sz w:val="24"/>
                <w:szCs w:val="24"/>
              </w:rPr>
            </w:pPr>
          </w:p>
        </w:tc>
        <w:tc>
          <w:tcPr>
            <w:tcW w:w="6015" w:type="dxa"/>
            <w:vMerge/>
          </w:tcPr>
          <w:p w:rsidR="00AD28DD" w:rsidRPr="000512B5" w:rsidRDefault="00AD28DD">
            <w:pPr>
              <w:tabs>
                <w:tab w:val="left" w:pos="426"/>
                <w:tab w:val="left" w:pos="1260"/>
                <w:tab w:val="left" w:pos="1261"/>
              </w:tabs>
              <w:spacing w:before="120"/>
              <w:rPr>
                <w:rFonts w:cs="Arial"/>
                <w:sz w:val="24"/>
                <w:szCs w:val="24"/>
              </w:rPr>
            </w:pPr>
          </w:p>
        </w:tc>
      </w:tr>
      <w:tr w:rsidR="00AD28DD" w:rsidRPr="00F35ABF" w:rsidTr="00DA4DC1">
        <w:tc>
          <w:tcPr>
            <w:tcW w:w="1275" w:type="dxa"/>
            <w:shd w:val="clear" w:color="auto" w:fill="D9D9D9" w:themeFill="background1" w:themeFillShade="D9"/>
          </w:tcPr>
          <w:p w:rsidR="00AD28DD" w:rsidRPr="000512B5" w:rsidRDefault="00AD28DD" w:rsidP="0029202A">
            <w:pPr>
              <w:tabs>
                <w:tab w:val="left" w:pos="426"/>
                <w:tab w:val="left" w:pos="1260"/>
                <w:tab w:val="left" w:pos="1261"/>
              </w:tabs>
              <w:spacing w:before="120"/>
              <w:rPr>
                <w:rFonts w:cs="Arial"/>
                <w:sz w:val="24"/>
                <w:szCs w:val="24"/>
              </w:rPr>
            </w:pPr>
          </w:p>
        </w:tc>
        <w:tc>
          <w:tcPr>
            <w:tcW w:w="1418" w:type="dxa"/>
          </w:tcPr>
          <w:p w:rsidR="00AD28DD" w:rsidRPr="000512B5" w:rsidRDefault="00AD28DD" w:rsidP="00A21842">
            <w:pPr>
              <w:tabs>
                <w:tab w:val="left" w:pos="426"/>
                <w:tab w:val="left" w:pos="1260"/>
                <w:tab w:val="left" w:pos="1261"/>
              </w:tabs>
              <w:spacing w:before="120"/>
              <w:rPr>
                <w:rFonts w:cs="Arial"/>
                <w:sz w:val="24"/>
                <w:szCs w:val="24"/>
              </w:rPr>
            </w:pPr>
            <w:r w:rsidRPr="000512B5">
              <w:rPr>
                <w:rFonts w:cs="Arial"/>
                <w:sz w:val="24"/>
                <w:szCs w:val="24"/>
              </w:rPr>
              <w:t>9</w:t>
            </w:r>
          </w:p>
        </w:tc>
        <w:tc>
          <w:tcPr>
            <w:tcW w:w="6015" w:type="dxa"/>
          </w:tcPr>
          <w:p w:rsidR="00AD28DD" w:rsidRPr="000512B5" w:rsidRDefault="00AD28DD">
            <w:pPr>
              <w:tabs>
                <w:tab w:val="left" w:pos="426"/>
                <w:tab w:val="left" w:pos="1260"/>
                <w:tab w:val="left" w:pos="1261"/>
              </w:tabs>
              <w:spacing w:before="120"/>
              <w:rPr>
                <w:rFonts w:cs="Arial"/>
                <w:sz w:val="24"/>
                <w:szCs w:val="24"/>
              </w:rPr>
            </w:pPr>
            <w:r w:rsidRPr="000512B5">
              <w:rPr>
                <w:rFonts w:cs="Arial"/>
                <w:sz w:val="24"/>
                <w:szCs w:val="24"/>
              </w:rPr>
              <w:t xml:space="preserve">New section on </w:t>
            </w:r>
            <w:r w:rsidR="00F35ABF" w:rsidRPr="000512B5">
              <w:rPr>
                <w:rFonts w:cs="Arial"/>
                <w:sz w:val="24"/>
                <w:szCs w:val="24"/>
              </w:rPr>
              <w:t>indicative t</w:t>
            </w:r>
            <w:r w:rsidRPr="000512B5">
              <w:rPr>
                <w:rFonts w:cs="Arial"/>
                <w:sz w:val="24"/>
                <w:szCs w:val="24"/>
              </w:rPr>
              <w:t>imescales</w:t>
            </w:r>
          </w:p>
        </w:tc>
      </w:tr>
      <w:tr w:rsidR="00B03512" w:rsidRPr="00F35ABF" w:rsidTr="00DA4DC1">
        <w:tc>
          <w:tcPr>
            <w:tcW w:w="1275" w:type="dxa"/>
            <w:tcBorders>
              <w:bottom w:val="single" w:sz="4" w:space="0" w:color="auto"/>
            </w:tcBorders>
          </w:tcPr>
          <w:p w:rsidR="00B03512" w:rsidRPr="000512B5" w:rsidRDefault="00B03512" w:rsidP="0029202A">
            <w:pPr>
              <w:tabs>
                <w:tab w:val="left" w:pos="426"/>
                <w:tab w:val="left" w:pos="1260"/>
                <w:tab w:val="left" w:pos="1261"/>
              </w:tabs>
              <w:spacing w:before="120"/>
              <w:rPr>
                <w:rFonts w:cs="Arial"/>
                <w:sz w:val="24"/>
                <w:szCs w:val="24"/>
              </w:rPr>
            </w:pPr>
            <w:r w:rsidRPr="000512B5">
              <w:rPr>
                <w:rFonts w:cs="Arial"/>
                <w:sz w:val="24"/>
                <w:szCs w:val="24"/>
              </w:rPr>
              <w:t>10</w:t>
            </w:r>
          </w:p>
        </w:tc>
        <w:tc>
          <w:tcPr>
            <w:tcW w:w="1418" w:type="dxa"/>
          </w:tcPr>
          <w:p w:rsidR="00B03512" w:rsidRPr="000512B5" w:rsidRDefault="00B03512" w:rsidP="00A21842">
            <w:pPr>
              <w:tabs>
                <w:tab w:val="left" w:pos="426"/>
                <w:tab w:val="left" w:pos="1260"/>
                <w:tab w:val="left" w:pos="1261"/>
              </w:tabs>
              <w:spacing w:before="120"/>
              <w:rPr>
                <w:rFonts w:cs="Arial"/>
                <w:sz w:val="24"/>
                <w:szCs w:val="24"/>
              </w:rPr>
            </w:pPr>
            <w:r w:rsidRPr="000512B5">
              <w:rPr>
                <w:rFonts w:cs="Arial"/>
                <w:sz w:val="24"/>
                <w:szCs w:val="24"/>
              </w:rPr>
              <w:t>10</w:t>
            </w:r>
          </w:p>
        </w:tc>
        <w:tc>
          <w:tcPr>
            <w:tcW w:w="6015" w:type="dxa"/>
          </w:tcPr>
          <w:p w:rsidR="00B03512" w:rsidRPr="000512B5" w:rsidRDefault="00B03512">
            <w:pPr>
              <w:tabs>
                <w:tab w:val="left" w:pos="426"/>
                <w:tab w:val="left" w:pos="1260"/>
                <w:tab w:val="left" w:pos="1261"/>
              </w:tabs>
              <w:spacing w:before="120"/>
              <w:rPr>
                <w:rFonts w:cs="Arial"/>
                <w:sz w:val="24"/>
                <w:szCs w:val="24"/>
              </w:rPr>
            </w:pPr>
            <w:r w:rsidRPr="000512B5">
              <w:rPr>
                <w:rFonts w:cs="Arial"/>
                <w:sz w:val="24"/>
                <w:szCs w:val="24"/>
              </w:rPr>
              <w:t>Minor rewording</w:t>
            </w:r>
          </w:p>
        </w:tc>
      </w:tr>
      <w:tr w:rsidR="00AD28DD" w:rsidRPr="00F35ABF" w:rsidTr="00DA4DC1">
        <w:tc>
          <w:tcPr>
            <w:tcW w:w="1275" w:type="dxa"/>
            <w:shd w:val="clear" w:color="auto" w:fill="D9D9D9" w:themeFill="background1" w:themeFillShade="D9"/>
          </w:tcPr>
          <w:p w:rsidR="00AD28DD" w:rsidRPr="000512B5" w:rsidRDefault="00AD28DD" w:rsidP="0029202A">
            <w:pPr>
              <w:tabs>
                <w:tab w:val="left" w:pos="426"/>
                <w:tab w:val="left" w:pos="1260"/>
                <w:tab w:val="left" w:pos="1261"/>
              </w:tabs>
              <w:spacing w:before="120"/>
              <w:rPr>
                <w:rFonts w:cs="Arial"/>
                <w:sz w:val="24"/>
                <w:szCs w:val="24"/>
              </w:rPr>
            </w:pPr>
          </w:p>
        </w:tc>
        <w:tc>
          <w:tcPr>
            <w:tcW w:w="1418" w:type="dxa"/>
            <w:tcBorders>
              <w:bottom w:val="single" w:sz="4" w:space="0" w:color="auto"/>
            </w:tcBorders>
          </w:tcPr>
          <w:p w:rsidR="00AD28DD" w:rsidRPr="000512B5" w:rsidRDefault="00AD28DD" w:rsidP="00A21842">
            <w:pPr>
              <w:tabs>
                <w:tab w:val="left" w:pos="426"/>
                <w:tab w:val="left" w:pos="1260"/>
                <w:tab w:val="left" w:pos="1261"/>
              </w:tabs>
              <w:spacing w:before="120"/>
              <w:rPr>
                <w:rFonts w:cs="Arial"/>
                <w:sz w:val="24"/>
                <w:szCs w:val="24"/>
              </w:rPr>
            </w:pPr>
            <w:r w:rsidRPr="000512B5">
              <w:rPr>
                <w:rFonts w:cs="Arial"/>
                <w:sz w:val="24"/>
                <w:szCs w:val="24"/>
              </w:rPr>
              <w:t>11</w:t>
            </w:r>
          </w:p>
        </w:tc>
        <w:tc>
          <w:tcPr>
            <w:tcW w:w="6015" w:type="dxa"/>
          </w:tcPr>
          <w:p w:rsidR="00AD28DD" w:rsidRPr="000512B5" w:rsidRDefault="00AD28DD">
            <w:pPr>
              <w:tabs>
                <w:tab w:val="left" w:pos="426"/>
                <w:tab w:val="left" w:pos="1260"/>
                <w:tab w:val="left" w:pos="1261"/>
              </w:tabs>
              <w:spacing w:before="120"/>
              <w:rPr>
                <w:rFonts w:cs="Arial"/>
                <w:sz w:val="24"/>
                <w:szCs w:val="24"/>
              </w:rPr>
            </w:pPr>
            <w:r w:rsidRPr="000512B5">
              <w:rPr>
                <w:rFonts w:cs="Arial"/>
                <w:sz w:val="24"/>
                <w:szCs w:val="24"/>
              </w:rPr>
              <w:t xml:space="preserve">New section on </w:t>
            </w:r>
            <w:r w:rsidR="00F35ABF" w:rsidRPr="000512B5">
              <w:rPr>
                <w:rFonts w:cs="Arial"/>
                <w:sz w:val="24"/>
                <w:szCs w:val="24"/>
              </w:rPr>
              <w:t>d</w:t>
            </w:r>
            <w:r w:rsidRPr="000512B5">
              <w:rPr>
                <w:rFonts w:cs="Arial"/>
                <w:sz w:val="24"/>
                <w:szCs w:val="24"/>
              </w:rPr>
              <w:t xml:space="preserve">ocument </w:t>
            </w:r>
            <w:r w:rsidR="00F35ABF" w:rsidRPr="000512B5">
              <w:rPr>
                <w:rFonts w:cs="Arial"/>
                <w:sz w:val="24"/>
                <w:szCs w:val="24"/>
              </w:rPr>
              <w:t>r</w:t>
            </w:r>
            <w:r w:rsidRPr="000512B5">
              <w:rPr>
                <w:rFonts w:cs="Arial"/>
                <w:sz w:val="24"/>
                <w:szCs w:val="24"/>
              </w:rPr>
              <w:t>etention</w:t>
            </w:r>
          </w:p>
        </w:tc>
      </w:tr>
      <w:tr w:rsidR="00B03512" w:rsidRPr="00F35ABF" w:rsidTr="00DA4DC1">
        <w:tc>
          <w:tcPr>
            <w:tcW w:w="1275" w:type="dxa"/>
          </w:tcPr>
          <w:p w:rsidR="00B03512" w:rsidRPr="000512B5" w:rsidRDefault="00B03512" w:rsidP="0029202A">
            <w:pPr>
              <w:tabs>
                <w:tab w:val="left" w:pos="426"/>
                <w:tab w:val="left" w:pos="1260"/>
                <w:tab w:val="left" w:pos="1261"/>
              </w:tabs>
              <w:spacing w:before="120"/>
              <w:rPr>
                <w:rFonts w:cs="Arial"/>
                <w:sz w:val="24"/>
                <w:szCs w:val="24"/>
              </w:rPr>
            </w:pPr>
            <w:r w:rsidRPr="000512B5">
              <w:rPr>
                <w:rFonts w:cs="Arial"/>
                <w:sz w:val="24"/>
                <w:szCs w:val="24"/>
              </w:rPr>
              <w:t>11</w:t>
            </w:r>
          </w:p>
        </w:tc>
        <w:tc>
          <w:tcPr>
            <w:tcW w:w="1418" w:type="dxa"/>
            <w:shd w:val="clear" w:color="auto" w:fill="D9D9D9" w:themeFill="background1" w:themeFillShade="D9"/>
          </w:tcPr>
          <w:p w:rsidR="00B03512" w:rsidRPr="000512B5" w:rsidRDefault="00B03512" w:rsidP="00A21842">
            <w:pPr>
              <w:tabs>
                <w:tab w:val="left" w:pos="426"/>
                <w:tab w:val="left" w:pos="1260"/>
                <w:tab w:val="left" w:pos="1261"/>
              </w:tabs>
              <w:spacing w:before="120"/>
              <w:rPr>
                <w:rFonts w:cs="Arial"/>
                <w:sz w:val="24"/>
                <w:szCs w:val="24"/>
              </w:rPr>
            </w:pPr>
          </w:p>
        </w:tc>
        <w:tc>
          <w:tcPr>
            <w:tcW w:w="6015" w:type="dxa"/>
          </w:tcPr>
          <w:p w:rsidR="00B03512" w:rsidRPr="000512B5" w:rsidRDefault="00AD28DD">
            <w:pPr>
              <w:tabs>
                <w:tab w:val="left" w:pos="426"/>
                <w:tab w:val="left" w:pos="1260"/>
                <w:tab w:val="left" w:pos="1261"/>
              </w:tabs>
              <w:spacing w:before="120"/>
              <w:rPr>
                <w:rFonts w:cs="Arial"/>
                <w:sz w:val="24"/>
                <w:szCs w:val="24"/>
              </w:rPr>
            </w:pPr>
            <w:r w:rsidRPr="000512B5">
              <w:rPr>
                <w:rFonts w:cs="Arial"/>
                <w:sz w:val="24"/>
                <w:szCs w:val="24"/>
              </w:rPr>
              <w:t>Summary</w:t>
            </w:r>
            <w:r w:rsidR="00F35ABF" w:rsidRPr="000512B5">
              <w:rPr>
                <w:rFonts w:cs="Arial"/>
                <w:sz w:val="24"/>
                <w:szCs w:val="24"/>
              </w:rPr>
              <w:t xml:space="preserve"> of content moved to Appendix 2</w:t>
            </w:r>
          </w:p>
        </w:tc>
      </w:tr>
      <w:tr w:rsidR="00B03512" w:rsidRPr="00F35ABF" w:rsidTr="00DA4DC1">
        <w:tc>
          <w:tcPr>
            <w:tcW w:w="1275" w:type="dxa"/>
          </w:tcPr>
          <w:p w:rsidR="00B03512" w:rsidRPr="000512B5" w:rsidRDefault="00B03512" w:rsidP="0029202A">
            <w:pPr>
              <w:tabs>
                <w:tab w:val="left" w:pos="426"/>
                <w:tab w:val="left" w:pos="1260"/>
                <w:tab w:val="left" w:pos="1261"/>
              </w:tabs>
              <w:spacing w:before="120"/>
              <w:rPr>
                <w:rFonts w:cs="Arial"/>
                <w:sz w:val="24"/>
                <w:szCs w:val="24"/>
              </w:rPr>
            </w:pPr>
            <w:r w:rsidRPr="000512B5">
              <w:rPr>
                <w:rFonts w:cs="Arial"/>
                <w:sz w:val="24"/>
                <w:szCs w:val="24"/>
              </w:rPr>
              <w:lastRenderedPageBreak/>
              <w:t>12</w:t>
            </w:r>
          </w:p>
        </w:tc>
        <w:tc>
          <w:tcPr>
            <w:tcW w:w="1418" w:type="dxa"/>
            <w:shd w:val="clear" w:color="auto" w:fill="D9D9D9" w:themeFill="background1" w:themeFillShade="D9"/>
          </w:tcPr>
          <w:p w:rsidR="00B03512" w:rsidRPr="000512B5" w:rsidRDefault="00B03512" w:rsidP="00A21842">
            <w:pPr>
              <w:tabs>
                <w:tab w:val="left" w:pos="426"/>
                <w:tab w:val="left" w:pos="1260"/>
                <w:tab w:val="left" w:pos="1261"/>
              </w:tabs>
              <w:spacing w:before="120"/>
              <w:rPr>
                <w:rFonts w:cs="Arial"/>
                <w:sz w:val="24"/>
                <w:szCs w:val="24"/>
              </w:rPr>
            </w:pPr>
          </w:p>
        </w:tc>
        <w:tc>
          <w:tcPr>
            <w:tcW w:w="6015" w:type="dxa"/>
          </w:tcPr>
          <w:p w:rsidR="00B03512" w:rsidRPr="000512B5" w:rsidRDefault="00F35ABF">
            <w:pPr>
              <w:tabs>
                <w:tab w:val="left" w:pos="426"/>
                <w:tab w:val="left" w:pos="1260"/>
                <w:tab w:val="left" w:pos="1261"/>
              </w:tabs>
              <w:spacing w:before="120"/>
              <w:rPr>
                <w:rFonts w:cs="Arial"/>
                <w:sz w:val="24"/>
                <w:szCs w:val="24"/>
              </w:rPr>
            </w:pPr>
            <w:r w:rsidRPr="000512B5">
              <w:rPr>
                <w:rFonts w:cs="Arial"/>
                <w:sz w:val="24"/>
                <w:szCs w:val="24"/>
              </w:rPr>
              <w:t>Summary of content moved to Appendix 2</w:t>
            </w:r>
          </w:p>
        </w:tc>
      </w:tr>
      <w:tr w:rsidR="00B03512" w:rsidRPr="00F35ABF" w:rsidTr="00DA4DC1">
        <w:tc>
          <w:tcPr>
            <w:tcW w:w="1275" w:type="dxa"/>
            <w:tcBorders>
              <w:bottom w:val="single" w:sz="4" w:space="0" w:color="auto"/>
            </w:tcBorders>
          </w:tcPr>
          <w:p w:rsidR="00B03512" w:rsidRPr="000512B5" w:rsidRDefault="00B03512" w:rsidP="0029202A">
            <w:pPr>
              <w:tabs>
                <w:tab w:val="left" w:pos="426"/>
                <w:tab w:val="left" w:pos="1260"/>
                <w:tab w:val="left" w:pos="1261"/>
              </w:tabs>
              <w:spacing w:before="120"/>
              <w:rPr>
                <w:rFonts w:cs="Arial"/>
                <w:sz w:val="24"/>
                <w:szCs w:val="24"/>
              </w:rPr>
            </w:pPr>
            <w:r w:rsidRPr="000512B5">
              <w:rPr>
                <w:rFonts w:cs="Arial"/>
                <w:sz w:val="24"/>
                <w:szCs w:val="24"/>
              </w:rPr>
              <w:t>13</w:t>
            </w:r>
          </w:p>
        </w:tc>
        <w:tc>
          <w:tcPr>
            <w:tcW w:w="1418" w:type="dxa"/>
          </w:tcPr>
          <w:p w:rsidR="00B03512" w:rsidRPr="000512B5" w:rsidRDefault="00B03512" w:rsidP="00A21842">
            <w:pPr>
              <w:tabs>
                <w:tab w:val="left" w:pos="426"/>
                <w:tab w:val="left" w:pos="1260"/>
                <w:tab w:val="left" w:pos="1261"/>
              </w:tabs>
              <w:spacing w:before="120"/>
              <w:rPr>
                <w:rFonts w:cs="Arial"/>
                <w:sz w:val="24"/>
                <w:szCs w:val="24"/>
              </w:rPr>
            </w:pPr>
            <w:r w:rsidRPr="000512B5">
              <w:rPr>
                <w:rFonts w:cs="Arial"/>
                <w:sz w:val="24"/>
                <w:szCs w:val="24"/>
              </w:rPr>
              <w:t xml:space="preserve">12 </w:t>
            </w:r>
          </w:p>
        </w:tc>
        <w:tc>
          <w:tcPr>
            <w:tcW w:w="6015" w:type="dxa"/>
          </w:tcPr>
          <w:p w:rsidR="00B03512" w:rsidRPr="000512B5" w:rsidRDefault="00AD28DD">
            <w:pPr>
              <w:tabs>
                <w:tab w:val="left" w:pos="426"/>
                <w:tab w:val="left" w:pos="1260"/>
                <w:tab w:val="left" w:pos="1261"/>
              </w:tabs>
              <w:spacing w:before="120"/>
              <w:rPr>
                <w:rFonts w:cs="Arial"/>
                <w:sz w:val="24"/>
                <w:szCs w:val="24"/>
              </w:rPr>
            </w:pPr>
            <w:r w:rsidRPr="000512B5">
              <w:rPr>
                <w:rFonts w:cs="Arial"/>
                <w:sz w:val="24"/>
                <w:szCs w:val="24"/>
              </w:rPr>
              <w:t>No change</w:t>
            </w:r>
          </w:p>
        </w:tc>
      </w:tr>
      <w:tr w:rsidR="00F35ABF" w:rsidRPr="00F35ABF" w:rsidTr="00DA4DC1">
        <w:tc>
          <w:tcPr>
            <w:tcW w:w="1275" w:type="dxa"/>
            <w:shd w:val="clear" w:color="auto" w:fill="D9D9D9" w:themeFill="background1" w:themeFillShade="D9"/>
          </w:tcPr>
          <w:p w:rsidR="00F35ABF" w:rsidRPr="000512B5" w:rsidRDefault="00F35ABF" w:rsidP="0029202A">
            <w:pPr>
              <w:tabs>
                <w:tab w:val="left" w:pos="426"/>
                <w:tab w:val="left" w:pos="1260"/>
                <w:tab w:val="left" w:pos="1261"/>
              </w:tabs>
              <w:spacing w:before="120"/>
              <w:rPr>
                <w:rFonts w:cs="Arial"/>
                <w:sz w:val="24"/>
                <w:szCs w:val="24"/>
              </w:rPr>
            </w:pPr>
          </w:p>
        </w:tc>
        <w:tc>
          <w:tcPr>
            <w:tcW w:w="1418" w:type="dxa"/>
          </w:tcPr>
          <w:p w:rsidR="00F35ABF" w:rsidRPr="000512B5" w:rsidRDefault="00F35ABF" w:rsidP="00A21842">
            <w:pPr>
              <w:tabs>
                <w:tab w:val="left" w:pos="426"/>
                <w:tab w:val="left" w:pos="1260"/>
                <w:tab w:val="left" w:pos="1261"/>
              </w:tabs>
              <w:spacing w:before="120"/>
              <w:rPr>
                <w:rFonts w:cs="Arial"/>
                <w:sz w:val="24"/>
                <w:szCs w:val="24"/>
              </w:rPr>
            </w:pPr>
            <w:r w:rsidRPr="000512B5">
              <w:rPr>
                <w:rFonts w:cs="Arial"/>
                <w:sz w:val="24"/>
                <w:szCs w:val="24"/>
              </w:rPr>
              <w:t>Appendix 1</w:t>
            </w:r>
          </w:p>
        </w:tc>
        <w:tc>
          <w:tcPr>
            <w:tcW w:w="6015" w:type="dxa"/>
          </w:tcPr>
          <w:p w:rsidR="00F35ABF" w:rsidRPr="000512B5" w:rsidRDefault="00F35ABF">
            <w:pPr>
              <w:tabs>
                <w:tab w:val="left" w:pos="426"/>
                <w:tab w:val="left" w:pos="1260"/>
                <w:tab w:val="left" w:pos="1261"/>
              </w:tabs>
              <w:spacing w:before="120"/>
              <w:rPr>
                <w:rFonts w:cs="Arial"/>
                <w:sz w:val="24"/>
                <w:szCs w:val="24"/>
              </w:rPr>
            </w:pPr>
            <w:r w:rsidRPr="000512B5">
              <w:rPr>
                <w:rFonts w:cs="Arial"/>
                <w:sz w:val="24"/>
                <w:szCs w:val="24"/>
              </w:rPr>
              <w:t>flow chart detailing the complaint process</w:t>
            </w:r>
          </w:p>
        </w:tc>
      </w:tr>
      <w:tr w:rsidR="00F35ABF" w:rsidRPr="00F35ABF" w:rsidTr="00DA4DC1">
        <w:tc>
          <w:tcPr>
            <w:tcW w:w="1275" w:type="dxa"/>
            <w:shd w:val="clear" w:color="auto" w:fill="D9D9D9" w:themeFill="background1" w:themeFillShade="D9"/>
          </w:tcPr>
          <w:p w:rsidR="00F35ABF" w:rsidRPr="000512B5" w:rsidRDefault="00F35ABF" w:rsidP="0029202A">
            <w:pPr>
              <w:tabs>
                <w:tab w:val="left" w:pos="426"/>
                <w:tab w:val="left" w:pos="1260"/>
                <w:tab w:val="left" w:pos="1261"/>
              </w:tabs>
              <w:spacing w:before="120"/>
              <w:rPr>
                <w:rFonts w:cs="Arial"/>
                <w:sz w:val="24"/>
                <w:szCs w:val="24"/>
              </w:rPr>
            </w:pPr>
          </w:p>
        </w:tc>
        <w:tc>
          <w:tcPr>
            <w:tcW w:w="1418" w:type="dxa"/>
          </w:tcPr>
          <w:p w:rsidR="00F35ABF" w:rsidRPr="000512B5" w:rsidRDefault="00F35ABF" w:rsidP="00A21842">
            <w:pPr>
              <w:tabs>
                <w:tab w:val="left" w:pos="426"/>
                <w:tab w:val="left" w:pos="1260"/>
                <w:tab w:val="left" w:pos="1261"/>
              </w:tabs>
              <w:spacing w:before="120"/>
              <w:rPr>
                <w:rFonts w:cs="Arial"/>
                <w:sz w:val="24"/>
                <w:szCs w:val="24"/>
              </w:rPr>
            </w:pPr>
            <w:r w:rsidRPr="000512B5">
              <w:rPr>
                <w:rFonts w:cs="Arial"/>
                <w:sz w:val="24"/>
                <w:szCs w:val="24"/>
              </w:rPr>
              <w:t>Appendix 2</w:t>
            </w:r>
          </w:p>
        </w:tc>
        <w:tc>
          <w:tcPr>
            <w:tcW w:w="6015" w:type="dxa"/>
          </w:tcPr>
          <w:p w:rsidR="00F35ABF" w:rsidRPr="000512B5" w:rsidRDefault="00F35ABF">
            <w:pPr>
              <w:tabs>
                <w:tab w:val="left" w:pos="426"/>
                <w:tab w:val="left" w:pos="1260"/>
                <w:tab w:val="left" w:pos="1261"/>
              </w:tabs>
              <w:spacing w:before="120"/>
              <w:rPr>
                <w:rFonts w:cs="Arial"/>
                <w:sz w:val="24"/>
                <w:szCs w:val="24"/>
              </w:rPr>
            </w:pPr>
            <w:r w:rsidRPr="000512B5">
              <w:rPr>
                <w:rFonts w:cs="Arial"/>
                <w:sz w:val="24"/>
                <w:szCs w:val="24"/>
              </w:rPr>
              <w:t>glossary of terms used during the complaint process</w:t>
            </w:r>
          </w:p>
        </w:tc>
      </w:tr>
      <w:tr w:rsidR="00F35ABF" w:rsidRPr="00F35ABF" w:rsidTr="00DA4DC1">
        <w:tc>
          <w:tcPr>
            <w:tcW w:w="1275" w:type="dxa"/>
            <w:shd w:val="clear" w:color="auto" w:fill="D9D9D9" w:themeFill="background1" w:themeFillShade="D9"/>
          </w:tcPr>
          <w:p w:rsidR="00F35ABF" w:rsidRPr="000512B5" w:rsidRDefault="00F35ABF" w:rsidP="0029202A">
            <w:pPr>
              <w:tabs>
                <w:tab w:val="left" w:pos="426"/>
                <w:tab w:val="left" w:pos="1260"/>
                <w:tab w:val="left" w:pos="1261"/>
              </w:tabs>
              <w:spacing w:before="120"/>
              <w:rPr>
                <w:rFonts w:cs="Arial"/>
                <w:sz w:val="24"/>
                <w:szCs w:val="24"/>
              </w:rPr>
            </w:pPr>
          </w:p>
        </w:tc>
        <w:tc>
          <w:tcPr>
            <w:tcW w:w="1418" w:type="dxa"/>
          </w:tcPr>
          <w:p w:rsidR="00F35ABF" w:rsidRPr="000512B5" w:rsidRDefault="00F35ABF" w:rsidP="00A21842">
            <w:pPr>
              <w:tabs>
                <w:tab w:val="left" w:pos="426"/>
                <w:tab w:val="left" w:pos="1260"/>
                <w:tab w:val="left" w:pos="1261"/>
              </w:tabs>
              <w:spacing w:before="120"/>
              <w:rPr>
                <w:rFonts w:cs="Arial"/>
                <w:sz w:val="24"/>
                <w:szCs w:val="24"/>
              </w:rPr>
            </w:pPr>
            <w:r w:rsidRPr="000512B5">
              <w:rPr>
                <w:rFonts w:cs="Arial"/>
                <w:sz w:val="24"/>
                <w:szCs w:val="24"/>
              </w:rPr>
              <w:t>Appendix 3</w:t>
            </w:r>
          </w:p>
        </w:tc>
        <w:tc>
          <w:tcPr>
            <w:tcW w:w="6015" w:type="dxa"/>
          </w:tcPr>
          <w:p w:rsidR="00F35ABF" w:rsidRPr="000512B5" w:rsidRDefault="00F35ABF">
            <w:pPr>
              <w:tabs>
                <w:tab w:val="left" w:pos="426"/>
                <w:tab w:val="left" w:pos="1260"/>
                <w:tab w:val="left" w:pos="1261"/>
              </w:tabs>
              <w:spacing w:before="120"/>
              <w:rPr>
                <w:rFonts w:cs="Arial"/>
                <w:sz w:val="24"/>
                <w:szCs w:val="24"/>
              </w:rPr>
            </w:pPr>
            <w:r w:rsidRPr="000512B5">
              <w:rPr>
                <w:rFonts w:cs="Arial"/>
                <w:sz w:val="24"/>
                <w:szCs w:val="24"/>
              </w:rPr>
              <w:t>Procedure to be followed at the Standards Committee Local Hearing.  This will give both the complainant and the subject councillor a much clearer idea of what to expect.  It will also form part of the Local Hearing agenda to ensure that those hearings are conducted to a consistent standard.</w:t>
            </w:r>
          </w:p>
        </w:tc>
      </w:tr>
      <w:tr w:rsidR="00DA4DC1" w:rsidRPr="00F35ABF" w:rsidTr="00DA4DC1">
        <w:tc>
          <w:tcPr>
            <w:tcW w:w="1275" w:type="dxa"/>
            <w:shd w:val="clear" w:color="auto" w:fill="D9D9D9" w:themeFill="background1" w:themeFillShade="D9"/>
          </w:tcPr>
          <w:p w:rsidR="00DA4DC1" w:rsidRPr="000512B5" w:rsidRDefault="00DA4DC1" w:rsidP="0029202A">
            <w:pPr>
              <w:tabs>
                <w:tab w:val="left" w:pos="426"/>
                <w:tab w:val="left" w:pos="1260"/>
                <w:tab w:val="left" w:pos="1261"/>
              </w:tabs>
              <w:spacing w:before="120"/>
              <w:rPr>
                <w:rFonts w:cs="Arial"/>
                <w:sz w:val="24"/>
                <w:szCs w:val="24"/>
              </w:rPr>
            </w:pPr>
          </w:p>
        </w:tc>
        <w:tc>
          <w:tcPr>
            <w:tcW w:w="1418" w:type="dxa"/>
          </w:tcPr>
          <w:p w:rsidR="00DA4DC1" w:rsidRPr="000512B5" w:rsidRDefault="00DA4DC1" w:rsidP="00A21842">
            <w:pPr>
              <w:tabs>
                <w:tab w:val="left" w:pos="426"/>
                <w:tab w:val="left" w:pos="1260"/>
                <w:tab w:val="left" w:pos="1261"/>
              </w:tabs>
              <w:spacing w:before="120"/>
              <w:rPr>
                <w:rFonts w:cs="Arial"/>
                <w:sz w:val="24"/>
                <w:szCs w:val="24"/>
              </w:rPr>
            </w:pPr>
            <w:r w:rsidRPr="000512B5">
              <w:rPr>
                <w:rFonts w:cs="Arial"/>
                <w:sz w:val="24"/>
                <w:szCs w:val="24"/>
              </w:rPr>
              <w:t>Appendix 4</w:t>
            </w:r>
          </w:p>
        </w:tc>
        <w:tc>
          <w:tcPr>
            <w:tcW w:w="6015" w:type="dxa"/>
          </w:tcPr>
          <w:p w:rsidR="00DA4DC1" w:rsidRPr="000512B5" w:rsidRDefault="00DA4DC1">
            <w:pPr>
              <w:tabs>
                <w:tab w:val="left" w:pos="426"/>
                <w:tab w:val="left" w:pos="1260"/>
                <w:tab w:val="left" w:pos="1261"/>
              </w:tabs>
              <w:spacing w:before="120"/>
              <w:rPr>
                <w:rFonts w:cs="Arial"/>
                <w:sz w:val="24"/>
                <w:szCs w:val="24"/>
              </w:rPr>
            </w:pPr>
            <w:r w:rsidRPr="000512B5">
              <w:rPr>
                <w:rFonts w:cs="Arial"/>
                <w:sz w:val="24"/>
                <w:szCs w:val="24"/>
              </w:rPr>
              <w:t>Complaint Form</w:t>
            </w:r>
          </w:p>
        </w:tc>
      </w:tr>
    </w:tbl>
    <w:p w:rsidR="00B03512" w:rsidRDefault="00B03512" w:rsidP="0029202A">
      <w:pPr>
        <w:tabs>
          <w:tab w:val="left" w:pos="426"/>
          <w:tab w:val="left" w:pos="1260"/>
          <w:tab w:val="left" w:pos="1261"/>
        </w:tabs>
        <w:spacing w:before="120" w:after="0" w:line="240" w:lineRule="auto"/>
        <w:ind w:left="360"/>
        <w:rPr>
          <w:rFonts w:ascii="Arial" w:eastAsia="Times New Roman" w:hAnsi="Arial" w:cs="Times New Roman"/>
          <w:sz w:val="24"/>
          <w:szCs w:val="24"/>
          <w:lang w:eastAsia="en-GB"/>
        </w:rPr>
      </w:pPr>
    </w:p>
    <w:p w:rsidR="007B12AF" w:rsidRPr="001A10CC" w:rsidRDefault="00D72F3B" w:rsidP="000512B5">
      <w:pPr>
        <w:spacing w:after="0" w:line="240" w:lineRule="auto"/>
        <w:ind w:left="426"/>
        <w:rPr>
          <w:rFonts w:ascii="Arial" w:eastAsia="Times New Roman" w:hAnsi="Arial" w:cs="Times New Roman"/>
          <w:b/>
          <w:sz w:val="24"/>
          <w:szCs w:val="24"/>
          <w:lang w:eastAsia="en-GB"/>
        </w:rPr>
      </w:pPr>
      <w:r>
        <w:rPr>
          <w:rFonts w:ascii="Arial" w:eastAsia="Times New Roman" w:hAnsi="Arial" w:cs="Times New Roman"/>
          <w:b/>
          <w:sz w:val="24"/>
          <w:szCs w:val="24"/>
          <w:lang w:eastAsia="en-GB"/>
        </w:rPr>
        <w:t xml:space="preserve">The </w:t>
      </w:r>
      <w:r w:rsidR="007B12AF" w:rsidRPr="001A10CC">
        <w:rPr>
          <w:rFonts w:ascii="Arial" w:eastAsia="Times New Roman" w:hAnsi="Arial" w:cs="Times New Roman"/>
          <w:b/>
          <w:sz w:val="24"/>
          <w:szCs w:val="24"/>
          <w:lang w:eastAsia="en-GB"/>
        </w:rPr>
        <w:t>Complaint Form</w:t>
      </w:r>
    </w:p>
    <w:p w:rsidR="007B12AF" w:rsidRPr="00B11F3D" w:rsidRDefault="00DD5446" w:rsidP="000512B5">
      <w:pPr>
        <w:pStyle w:val="ListParagraph"/>
        <w:numPr>
          <w:ilvl w:val="0"/>
          <w:numId w:val="7"/>
        </w:numPr>
        <w:spacing w:before="120" w:after="0" w:line="240" w:lineRule="auto"/>
        <w:ind w:left="426" w:hanging="426"/>
        <w:rPr>
          <w:rFonts w:ascii="Arial" w:eastAsia="Times New Roman" w:hAnsi="Arial" w:cs="Times New Roman"/>
          <w:sz w:val="24"/>
          <w:szCs w:val="24"/>
          <w:lang w:eastAsia="en-GB"/>
        </w:rPr>
      </w:pPr>
      <w:r w:rsidRPr="00B11F3D">
        <w:rPr>
          <w:rFonts w:ascii="Arial" w:eastAsia="Times New Roman" w:hAnsi="Arial" w:cs="Times New Roman"/>
          <w:sz w:val="24"/>
          <w:szCs w:val="24"/>
          <w:lang w:eastAsia="en-GB"/>
        </w:rPr>
        <w:t xml:space="preserve">The current version of the form relies heavily on free text and this often results in long and unfocused submissions.  This </w:t>
      </w:r>
      <w:r w:rsidR="00EF16B7" w:rsidRPr="00B11F3D">
        <w:rPr>
          <w:rFonts w:ascii="Arial" w:eastAsia="Times New Roman" w:hAnsi="Arial" w:cs="Times New Roman"/>
          <w:sz w:val="24"/>
          <w:szCs w:val="24"/>
          <w:lang w:eastAsia="en-GB"/>
        </w:rPr>
        <w:t xml:space="preserve">can make it </w:t>
      </w:r>
      <w:r w:rsidRPr="00B11F3D">
        <w:rPr>
          <w:rFonts w:ascii="Arial" w:eastAsia="Times New Roman" w:hAnsi="Arial" w:cs="Times New Roman"/>
          <w:sz w:val="24"/>
          <w:szCs w:val="24"/>
          <w:lang w:eastAsia="en-GB"/>
        </w:rPr>
        <w:t xml:space="preserve">difficult </w:t>
      </w:r>
      <w:r w:rsidR="00EF16B7" w:rsidRPr="00B11F3D">
        <w:rPr>
          <w:rFonts w:ascii="Arial" w:eastAsia="Times New Roman" w:hAnsi="Arial" w:cs="Times New Roman"/>
          <w:sz w:val="24"/>
          <w:szCs w:val="24"/>
          <w:lang w:eastAsia="en-GB"/>
        </w:rPr>
        <w:t xml:space="preserve">for the Monitoring Officer and Independent Persons to tease out the specifics of the complaint.  The revised form requires the complainant to identify exactly which elements of the Code of Conduct they believe have been breached. </w:t>
      </w:r>
      <w:r w:rsidRPr="00B11F3D">
        <w:rPr>
          <w:rFonts w:ascii="Arial" w:eastAsia="Times New Roman" w:hAnsi="Arial" w:cs="Times New Roman"/>
          <w:sz w:val="24"/>
          <w:szCs w:val="24"/>
          <w:lang w:eastAsia="en-GB"/>
        </w:rPr>
        <w:t xml:space="preserve"> </w:t>
      </w:r>
      <w:r w:rsidR="00EF16B7" w:rsidRPr="00B11F3D">
        <w:rPr>
          <w:rFonts w:ascii="Arial" w:eastAsia="Times New Roman" w:hAnsi="Arial" w:cs="Times New Roman"/>
          <w:sz w:val="24"/>
          <w:szCs w:val="24"/>
          <w:lang w:eastAsia="en-GB"/>
        </w:rPr>
        <w:t>It also uses the “Who</w:t>
      </w:r>
      <w:r w:rsidR="00D626BA" w:rsidRPr="00B11F3D">
        <w:rPr>
          <w:rFonts w:ascii="Arial" w:eastAsia="Times New Roman" w:hAnsi="Arial" w:cs="Times New Roman"/>
          <w:sz w:val="24"/>
          <w:szCs w:val="24"/>
          <w:lang w:eastAsia="en-GB"/>
        </w:rPr>
        <w:t>?</w:t>
      </w:r>
      <w:r w:rsidR="00EF16B7" w:rsidRPr="00B11F3D">
        <w:rPr>
          <w:rFonts w:ascii="Arial" w:eastAsia="Times New Roman" w:hAnsi="Arial" w:cs="Times New Roman"/>
          <w:sz w:val="24"/>
          <w:szCs w:val="24"/>
          <w:lang w:eastAsia="en-GB"/>
        </w:rPr>
        <w:t>, Why?, What?, Where? When?</w:t>
      </w:r>
      <w:r w:rsidR="00B11F3D">
        <w:rPr>
          <w:rFonts w:ascii="Arial" w:eastAsia="Times New Roman" w:hAnsi="Arial" w:cs="Times New Roman"/>
          <w:sz w:val="24"/>
          <w:szCs w:val="24"/>
          <w:lang w:eastAsia="en-GB"/>
        </w:rPr>
        <w:t>”</w:t>
      </w:r>
      <w:r w:rsidR="00EF16B7" w:rsidRPr="00B11F3D">
        <w:rPr>
          <w:rFonts w:ascii="Arial" w:eastAsia="Times New Roman" w:hAnsi="Arial" w:cs="Times New Roman"/>
          <w:sz w:val="24"/>
          <w:szCs w:val="24"/>
          <w:lang w:eastAsia="en-GB"/>
        </w:rPr>
        <w:t xml:space="preserve"> approach </w:t>
      </w:r>
      <w:r w:rsidR="001A10CC" w:rsidRPr="00B11F3D">
        <w:rPr>
          <w:rFonts w:ascii="Arial" w:eastAsia="Times New Roman" w:hAnsi="Arial" w:cs="Times New Roman"/>
          <w:sz w:val="24"/>
          <w:szCs w:val="24"/>
          <w:lang w:eastAsia="en-GB"/>
        </w:rPr>
        <w:t>to provide context and structure to their complaint.</w:t>
      </w:r>
    </w:p>
    <w:p w:rsidR="00EE1BD5" w:rsidRDefault="00EE1BD5" w:rsidP="00B11F3D">
      <w:pPr>
        <w:pStyle w:val="ListParagraph"/>
        <w:tabs>
          <w:tab w:val="left" w:pos="426"/>
          <w:tab w:val="left" w:pos="1260"/>
          <w:tab w:val="left" w:pos="1261"/>
        </w:tabs>
        <w:spacing w:before="120" w:after="0" w:line="240" w:lineRule="auto"/>
        <w:ind w:left="360"/>
        <w:rPr>
          <w:rFonts w:ascii="Arial" w:eastAsia="Times New Roman" w:hAnsi="Arial" w:cs="Times New Roman"/>
          <w:sz w:val="24"/>
          <w:szCs w:val="24"/>
          <w:lang w:eastAsia="en-GB"/>
        </w:rPr>
      </w:pPr>
    </w:p>
    <w:p w:rsidR="001A10CC" w:rsidRPr="00BD49C4" w:rsidRDefault="001A10CC" w:rsidP="000512B5">
      <w:pPr>
        <w:pStyle w:val="ListParagraph"/>
        <w:numPr>
          <w:ilvl w:val="0"/>
          <w:numId w:val="7"/>
        </w:numPr>
        <w:spacing w:before="120" w:after="0" w:line="240" w:lineRule="auto"/>
        <w:ind w:left="426" w:hanging="426"/>
        <w:rPr>
          <w:rFonts w:ascii="Arial" w:eastAsia="Times New Roman" w:hAnsi="Arial" w:cs="Times New Roman"/>
          <w:sz w:val="24"/>
          <w:szCs w:val="24"/>
          <w:lang w:eastAsia="en-GB"/>
        </w:rPr>
      </w:pPr>
      <w:r w:rsidRPr="00BD49C4">
        <w:rPr>
          <w:rFonts w:ascii="Arial" w:eastAsia="Times New Roman" w:hAnsi="Arial" w:cs="Times New Roman"/>
          <w:sz w:val="24"/>
          <w:szCs w:val="24"/>
          <w:lang w:eastAsia="en-GB"/>
        </w:rPr>
        <w:t>The revised form includes two new sections to establish whether there has been a previous complaint and to determine what possible remedy the complainant is seeking.</w:t>
      </w:r>
      <w:r w:rsidR="00BD49C4" w:rsidRPr="00BD49C4">
        <w:rPr>
          <w:rFonts w:ascii="Arial" w:eastAsia="Times New Roman" w:hAnsi="Arial" w:cs="Times New Roman"/>
          <w:sz w:val="24"/>
          <w:szCs w:val="24"/>
          <w:lang w:eastAsia="en-GB"/>
        </w:rPr>
        <w:t xml:space="preserve"> </w:t>
      </w:r>
      <w:r w:rsidR="00BD49C4">
        <w:rPr>
          <w:rFonts w:ascii="Arial" w:eastAsia="Times New Roman" w:hAnsi="Arial" w:cs="Times New Roman"/>
          <w:sz w:val="24"/>
          <w:szCs w:val="24"/>
          <w:lang w:eastAsia="en-GB"/>
        </w:rPr>
        <w:t>It</w:t>
      </w:r>
      <w:r w:rsidRPr="00BD49C4">
        <w:rPr>
          <w:rFonts w:ascii="Arial" w:eastAsia="Times New Roman" w:hAnsi="Arial" w:cs="Times New Roman"/>
          <w:sz w:val="24"/>
          <w:szCs w:val="24"/>
          <w:lang w:eastAsia="en-GB"/>
        </w:rPr>
        <w:t xml:space="preserve"> also asks the complainant to give some context to a</w:t>
      </w:r>
      <w:r w:rsidR="00C25B43" w:rsidRPr="00BD49C4">
        <w:rPr>
          <w:rFonts w:ascii="Arial" w:eastAsia="Times New Roman" w:hAnsi="Arial" w:cs="Times New Roman"/>
          <w:sz w:val="24"/>
          <w:szCs w:val="24"/>
          <w:lang w:eastAsia="en-GB"/>
        </w:rPr>
        <w:t>ny</w:t>
      </w:r>
      <w:r w:rsidRPr="00BD49C4">
        <w:rPr>
          <w:rFonts w:ascii="Arial" w:eastAsia="Times New Roman" w:hAnsi="Arial" w:cs="Times New Roman"/>
          <w:sz w:val="24"/>
          <w:szCs w:val="24"/>
          <w:lang w:eastAsia="en-GB"/>
        </w:rPr>
        <w:t xml:space="preserve"> request for anonymity.</w:t>
      </w:r>
    </w:p>
    <w:p w:rsidR="00EE1BD5" w:rsidRDefault="00EE1BD5" w:rsidP="00BD49C4">
      <w:pPr>
        <w:pStyle w:val="ListParagraph"/>
        <w:spacing w:before="120" w:after="0" w:line="240" w:lineRule="auto"/>
        <w:ind w:left="567" w:hanging="567"/>
        <w:rPr>
          <w:rFonts w:ascii="Arial" w:eastAsia="Times New Roman" w:hAnsi="Arial" w:cs="Times New Roman"/>
          <w:sz w:val="24"/>
          <w:szCs w:val="24"/>
          <w:lang w:eastAsia="en-GB"/>
        </w:rPr>
      </w:pPr>
    </w:p>
    <w:p w:rsidR="00DD5446" w:rsidRPr="00B11F3D" w:rsidRDefault="00F35ABF" w:rsidP="000512B5">
      <w:pPr>
        <w:pStyle w:val="ListParagraph"/>
        <w:numPr>
          <w:ilvl w:val="0"/>
          <w:numId w:val="7"/>
        </w:numPr>
        <w:spacing w:before="120" w:after="0" w:line="240" w:lineRule="auto"/>
        <w:ind w:left="426" w:hanging="426"/>
        <w:rPr>
          <w:rFonts w:ascii="Arial" w:eastAsia="Times New Roman" w:hAnsi="Arial" w:cs="Times New Roman"/>
          <w:sz w:val="24"/>
          <w:szCs w:val="24"/>
          <w:lang w:eastAsia="en-GB"/>
        </w:rPr>
      </w:pPr>
      <w:r w:rsidRPr="00B11F3D">
        <w:rPr>
          <w:rFonts w:ascii="Arial" w:eastAsia="Times New Roman" w:hAnsi="Arial" w:cs="Times New Roman"/>
          <w:sz w:val="24"/>
          <w:szCs w:val="24"/>
          <w:lang w:eastAsia="en-GB"/>
        </w:rPr>
        <w:t>It</w:t>
      </w:r>
      <w:r w:rsidR="0054625C" w:rsidRPr="00B11F3D">
        <w:rPr>
          <w:rFonts w:ascii="Arial" w:eastAsia="Times New Roman" w:hAnsi="Arial" w:cs="Times New Roman"/>
          <w:sz w:val="24"/>
          <w:szCs w:val="24"/>
          <w:lang w:eastAsia="en-GB"/>
        </w:rPr>
        <w:t xml:space="preserve"> is intended to work with ICT colleagues to make the revised form available for o</w:t>
      </w:r>
      <w:r w:rsidR="00DD5446" w:rsidRPr="00B11F3D">
        <w:rPr>
          <w:rFonts w:ascii="Arial" w:eastAsia="Times New Roman" w:hAnsi="Arial" w:cs="Times New Roman"/>
          <w:sz w:val="24"/>
          <w:szCs w:val="24"/>
          <w:lang w:eastAsia="en-GB"/>
        </w:rPr>
        <w:t>n</w:t>
      </w:r>
      <w:r w:rsidR="0054625C" w:rsidRPr="00B11F3D">
        <w:rPr>
          <w:rFonts w:ascii="Arial" w:eastAsia="Times New Roman" w:hAnsi="Arial" w:cs="Times New Roman"/>
          <w:sz w:val="24"/>
          <w:szCs w:val="24"/>
          <w:lang w:eastAsia="en-GB"/>
        </w:rPr>
        <w:t>-</w:t>
      </w:r>
      <w:r w:rsidR="00DD5446" w:rsidRPr="00B11F3D">
        <w:rPr>
          <w:rFonts w:ascii="Arial" w:eastAsia="Times New Roman" w:hAnsi="Arial" w:cs="Times New Roman"/>
          <w:sz w:val="24"/>
          <w:szCs w:val="24"/>
          <w:lang w:eastAsia="en-GB"/>
        </w:rPr>
        <w:t>line submission</w:t>
      </w:r>
      <w:r w:rsidR="0054625C" w:rsidRPr="00B11F3D">
        <w:rPr>
          <w:rFonts w:ascii="Arial" w:eastAsia="Times New Roman" w:hAnsi="Arial" w:cs="Times New Roman"/>
          <w:sz w:val="24"/>
          <w:szCs w:val="24"/>
          <w:lang w:eastAsia="en-GB"/>
        </w:rPr>
        <w:t xml:space="preserve"> from the </w:t>
      </w:r>
      <w:r w:rsidR="0025615E" w:rsidRPr="00B11F3D">
        <w:rPr>
          <w:rFonts w:ascii="Arial" w:eastAsia="Times New Roman" w:hAnsi="Arial" w:cs="Times New Roman"/>
          <w:sz w:val="24"/>
          <w:szCs w:val="24"/>
          <w:lang w:eastAsia="en-GB"/>
        </w:rPr>
        <w:t xml:space="preserve">Council’s </w:t>
      </w:r>
      <w:r w:rsidR="0054625C" w:rsidRPr="00B11F3D">
        <w:rPr>
          <w:rFonts w:ascii="Arial" w:eastAsia="Times New Roman" w:hAnsi="Arial" w:cs="Times New Roman"/>
          <w:sz w:val="24"/>
          <w:szCs w:val="24"/>
          <w:lang w:eastAsia="en-GB"/>
        </w:rPr>
        <w:t>website.</w:t>
      </w:r>
    </w:p>
    <w:p w:rsidR="00DD5446" w:rsidRDefault="00DD5446" w:rsidP="0029202A">
      <w:pPr>
        <w:tabs>
          <w:tab w:val="left" w:pos="426"/>
          <w:tab w:val="left" w:pos="1260"/>
          <w:tab w:val="left" w:pos="1261"/>
        </w:tabs>
        <w:spacing w:after="0" w:line="240" w:lineRule="auto"/>
        <w:ind w:left="360"/>
        <w:rPr>
          <w:rFonts w:ascii="Arial" w:eastAsia="Times New Roman" w:hAnsi="Arial" w:cs="Times New Roman"/>
          <w:color w:val="FF0000"/>
          <w:sz w:val="24"/>
          <w:szCs w:val="24"/>
          <w:lang w:eastAsia="en-GB"/>
        </w:rPr>
      </w:pPr>
    </w:p>
    <w:p w:rsidR="00D72F3B" w:rsidRDefault="00D72F3B" w:rsidP="000512B5">
      <w:pPr>
        <w:tabs>
          <w:tab w:val="left" w:pos="1260"/>
          <w:tab w:val="left" w:pos="1261"/>
        </w:tabs>
        <w:spacing w:after="0" w:line="240" w:lineRule="auto"/>
        <w:ind w:left="567" w:hanging="141"/>
        <w:rPr>
          <w:rFonts w:ascii="Arial" w:eastAsia="Times New Roman" w:hAnsi="Arial" w:cs="Times New Roman"/>
          <w:b/>
          <w:sz w:val="24"/>
          <w:szCs w:val="24"/>
          <w:lang w:eastAsia="en-GB"/>
        </w:rPr>
      </w:pPr>
      <w:r>
        <w:rPr>
          <w:rFonts w:ascii="Arial" w:eastAsia="Times New Roman" w:hAnsi="Arial" w:cs="Times New Roman"/>
          <w:b/>
          <w:sz w:val="24"/>
          <w:szCs w:val="24"/>
          <w:lang w:eastAsia="en-GB"/>
        </w:rPr>
        <w:t>Email address</w:t>
      </w:r>
    </w:p>
    <w:p w:rsidR="00BD49C4" w:rsidRPr="00BD49C4" w:rsidRDefault="00D72F3B" w:rsidP="000512B5">
      <w:pPr>
        <w:pStyle w:val="ListParagraph"/>
        <w:numPr>
          <w:ilvl w:val="0"/>
          <w:numId w:val="7"/>
        </w:numPr>
        <w:spacing w:before="120" w:after="0" w:line="240" w:lineRule="auto"/>
        <w:ind w:left="426" w:hanging="426"/>
        <w:rPr>
          <w:rFonts w:ascii="Arial" w:eastAsia="Times New Roman" w:hAnsi="Arial" w:cs="Times New Roman"/>
          <w:color w:val="FF0000"/>
          <w:sz w:val="24"/>
          <w:szCs w:val="24"/>
          <w:lang w:eastAsia="en-GB"/>
        </w:rPr>
      </w:pPr>
      <w:r w:rsidRPr="00BD49C4">
        <w:rPr>
          <w:rFonts w:ascii="Arial" w:eastAsia="Times New Roman" w:hAnsi="Arial" w:cs="Times New Roman"/>
          <w:sz w:val="24"/>
          <w:szCs w:val="24"/>
          <w:lang w:eastAsia="en-GB"/>
        </w:rPr>
        <w:t xml:space="preserve">The simplest but possibly most effective change to all of the documentation is to the email address. </w:t>
      </w:r>
    </w:p>
    <w:p w:rsidR="00BD49C4" w:rsidRPr="00BD49C4" w:rsidRDefault="00D72F3B" w:rsidP="00BD49C4">
      <w:pPr>
        <w:spacing w:after="0" w:line="240" w:lineRule="auto"/>
        <w:rPr>
          <w:rFonts w:ascii="Arial" w:eastAsia="Times New Roman" w:hAnsi="Arial" w:cs="Times New Roman"/>
          <w:color w:val="FF0000"/>
          <w:sz w:val="24"/>
          <w:szCs w:val="24"/>
          <w:lang w:eastAsia="en-GB"/>
        </w:rPr>
      </w:pPr>
      <w:r w:rsidRPr="00BD49C4">
        <w:rPr>
          <w:rFonts w:ascii="Arial" w:eastAsia="Times New Roman" w:hAnsi="Arial" w:cs="Times New Roman"/>
          <w:sz w:val="24"/>
          <w:szCs w:val="24"/>
          <w:lang w:eastAsia="en-GB"/>
        </w:rPr>
        <w:t xml:space="preserve"> </w:t>
      </w:r>
    </w:p>
    <w:p w:rsidR="00BD49C4" w:rsidRPr="00B11F3D" w:rsidRDefault="00D72F3B" w:rsidP="000512B5">
      <w:pPr>
        <w:pStyle w:val="ListParagraph"/>
        <w:numPr>
          <w:ilvl w:val="0"/>
          <w:numId w:val="7"/>
        </w:numPr>
        <w:spacing w:after="0" w:line="240" w:lineRule="auto"/>
        <w:ind w:left="426" w:hanging="426"/>
        <w:contextualSpacing w:val="0"/>
        <w:rPr>
          <w:rFonts w:ascii="Arial" w:eastAsia="Times New Roman" w:hAnsi="Arial" w:cs="Times New Roman"/>
          <w:color w:val="FF0000"/>
          <w:sz w:val="24"/>
          <w:szCs w:val="24"/>
          <w:lang w:eastAsia="en-GB"/>
        </w:rPr>
      </w:pPr>
      <w:r w:rsidRPr="00BD49C4">
        <w:rPr>
          <w:rFonts w:ascii="Arial" w:eastAsia="Times New Roman" w:hAnsi="Arial" w:cs="Times New Roman"/>
          <w:sz w:val="24"/>
          <w:szCs w:val="24"/>
          <w:lang w:eastAsia="en-GB"/>
        </w:rPr>
        <w:t xml:space="preserve">The original email address was too long and the presence of an underscore resulted in some problems with misdirected messages.  </w:t>
      </w:r>
      <w:r w:rsidR="00BD49C4" w:rsidRPr="00B11F3D">
        <w:rPr>
          <w:rFonts w:ascii="Arial" w:eastAsia="Times New Roman" w:hAnsi="Arial" w:cs="Times New Roman"/>
          <w:sz w:val="24"/>
          <w:szCs w:val="24"/>
          <w:lang w:eastAsia="en-GB"/>
        </w:rPr>
        <w:t xml:space="preserve">The old email address </w:t>
      </w:r>
      <w:r w:rsidR="00BD49C4" w:rsidRPr="00BD49C4">
        <w:rPr>
          <w:rFonts w:ascii="Arial" w:eastAsia="Times New Roman" w:hAnsi="Arial" w:cs="Times New Roman"/>
          <w:sz w:val="24"/>
          <w:szCs w:val="24"/>
          <w:lang w:eastAsia="en-GB"/>
        </w:rPr>
        <w:t>(</w:t>
      </w:r>
      <w:hyperlink r:id="rId8" w:history="1">
        <w:r w:rsidR="00BD49C4" w:rsidRPr="00BD49C4">
          <w:rPr>
            <w:rStyle w:val="Hyperlink"/>
            <w:rFonts w:ascii="Arial" w:eastAsia="Times New Roman" w:hAnsi="Arial" w:cs="Times New Roman"/>
            <w:sz w:val="24"/>
            <w:szCs w:val="24"/>
            <w:lang w:eastAsia="en-GB"/>
          </w:rPr>
          <w:t>standards_monitoringofficer@oxford.gov.uk</w:t>
        </w:r>
      </w:hyperlink>
      <w:r w:rsidR="00BD49C4" w:rsidRPr="00BD49C4">
        <w:rPr>
          <w:rFonts w:ascii="Arial" w:eastAsia="Times New Roman" w:hAnsi="Arial" w:cs="Times New Roman"/>
          <w:sz w:val="24"/>
          <w:szCs w:val="24"/>
          <w:lang w:eastAsia="en-GB"/>
        </w:rPr>
        <w:t xml:space="preserve">) </w:t>
      </w:r>
      <w:r w:rsidR="00BD49C4" w:rsidRPr="00B11F3D">
        <w:rPr>
          <w:rFonts w:ascii="Arial" w:eastAsia="Times New Roman" w:hAnsi="Arial" w:cs="Times New Roman"/>
          <w:sz w:val="24"/>
          <w:szCs w:val="24"/>
          <w:lang w:eastAsia="en-GB"/>
        </w:rPr>
        <w:t>has been “hidden” in documentation and on the website but it still works if it is accessed from an old cached address list and the message will be re-routed to the new email address.</w:t>
      </w:r>
    </w:p>
    <w:p w:rsidR="00EE1BD5" w:rsidRPr="00B11F3D" w:rsidRDefault="00EE1BD5" w:rsidP="00BD49C4">
      <w:pPr>
        <w:pStyle w:val="ListParagraph"/>
        <w:tabs>
          <w:tab w:val="left" w:pos="567"/>
          <w:tab w:val="left" w:pos="1260"/>
          <w:tab w:val="left" w:pos="1261"/>
        </w:tabs>
        <w:spacing w:before="120" w:after="0" w:line="240" w:lineRule="auto"/>
        <w:ind w:left="567" w:hanging="567"/>
        <w:rPr>
          <w:rFonts w:ascii="Arial" w:eastAsia="Times New Roman" w:hAnsi="Arial" w:cs="Times New Roman"/>
          <w:sz w:val="24"/>
          <w:szCs w:val="24"/>
          <w:lang w:eastAsia="en-GB"/>
        </w:rPr>
      </w:pPr>
    </w:p>
    <w:p w:rsidR="00EE1BD5" w:rsidRPr="00B11F3D" w:rsidRDefault="00D72F3B" w:rsidP="000512B5">
      <w:pPr>
        <w:pStyle w:val="ListParagraph"/>
        <w:numPr>
          <w:ilvl w:val="0"/>
          <w:numId w:val="7"/>
        </w:numPr>
        <w:tabs>
          <w:tab w:val="left" w:pos="426"/>
          <w:tab w:val="left" w:pos="1260"/>
          <w:tab w:val="left" w:pos="1261"/>
        </w:tabs>
        <w:spacing w:before="120" w:after="0" w:line="240" w:lineRule="auto"/>
        <w:ind w:left="426" w:hanging="426"/>
        <w:rPr>
          <w:rFonts w:ascii="Arial" w:eastAsia="Times New Roman" w:hAnsi="Arial" w:cs="Times New Roman"/>
          <w:sz w:val="24"/>
          <w:szCs w:val="24"/>
          <w:lang w:eastAsia="en-GB"/>
        </w:rPr>
      </w:pPr>
      <w:r w:rsidRPr="00B11F3D">
        <w:rPr>
          <w:rFonts w:ascii="Arial" w:eastAsia="Times New Roman" w:hAnsi="Arial" w:cs="Times New Roman"/>
          <w:sz w:val="24"/>
          <w:szCs w:val="24"/>
          <w:lang w:eastAsia="en-GB"/>
        </w:rPr>
        <w:t>Th</w:t>
      </w:r>
      <w:r w:rsidR="00BD49C4">
        <w:rPr>
          <w:rFonts w:ascii="Arial" w:eastAsia="Times New Roman" w:hAnsi="Arial" w:cs="Times New Roman"/>
          <w:sz w:val="24"/>
          <w:szCs w:val="24"/>
          <w:lang w:eastAsia="en-GB"/>
        </w:rPr>
        <w:t>e new</w:t>
      </w:r>
      <w:r w:rsidRPr="00B11F3D">
        <w:rPr>
          <w:rFonts w:ascii="Arial" w:eastAsia="Times New Roman" w:hAnsi="Arial" w:cs="Times New Roman"/>
          <w:sz w:val="24"/>
          <w:szCs w:val="24"/>
          <w:lang w:eastAsia="en-GB"/>
        </w:rPr>
        <w:t xml:space="preserve"> email address </w:t>
      </w:r>
      <w:r w:rsidR="00BD49C4">
        <w:rPr>
          <w:rFonts w:ascii="Arial" w:eastAsia="Times New Roman" w:hAnsi="Arial" w:cs="Times New Roman"/>
          <w:sz w:val="24"/>
          <w:szCs w:val="24"/>
          <w:lang w:eastAsia="en-GB"/>
        </w:rPr>
        <w:t>is</w:t>
      </w:r>
      <w:r w:rsidRPr="00B11F3D">
        <w:rPr>
          <w:rFonts w:ascii="Arial" w:eastAsia="Times New Roman" w:hAnsi="Arial" w:cs="Times New Roman"/>
          <w:sz w:val="24"/>
          <w:szCs w:val="24"/>
          <w:lang w:eastAsia="en-GB"/>
        </w:rPr>
        <w:t xml:space="preserve">: </w:t>
      </w:r>
      <w:hyperlink r:id="rId9" w:history="1">
        <w:r w:rsidRPr="00EE1BD5">
          <w:rPr>
            <w:rStyle w:val="Hyperlink"/>
            <w:rFonts w:ascii="Arial" w:eastAsia="Times New Roman" w:hAnsi="Arial" w:cs="Times New Roman"/>
            <w:sz w:val="24"/>
            <w:szCs w:val="24"/>
            <w:lang w:eastAsia="en-GB"/>
          </w:rPr>
          <w:t>standards@oxford.gov.uk</w:t>
        </w:r>
      </w:hyperlink>
      <w:r w:rsidRPr="00B11F3D">
        <w:rPr>
          <w:rFonts w:ascii="Arial" w:eastAsia="Times New Roman" w:hAnsi="Arial" w:cs="Times New Roman"/>
          <w:sz w:val="24"/>
          <w:szCs w:val="24"/>
          <w:lang w:eastAsia="en-GB"/>
        </w:rPr>
        <w:t xml:space="preserve">. </w:t>
      </w:r>
    </w:p>
    <w:p w:rsidR="00EE1BD5" w:rsidRPr="00B11F3D" w:rsidRDefault="00EE1BD5" w:rsidP="00BD49C4">
      <w:pPr>
        <w:pStyle w:val="ListParagraph"/>
        <w:tabs>
          <w:tab w:val="left" w:pos="567"/>
          <w:tab w:val="left" w:pos="1260"/>
          <w:tab w:val="left" w:pos="1261"/>
        </w:tabs>
        <w:spacing w:before="120" w:after="0" w:line="240" w:lineRule="auto"/>
        <w:ind w:left="567" w:hanging="567"/>
        <w:rPr>
          <w:rFonts w:ascii="Arial" w:eastAsia="Times New Roman" w:hAnsi="Arial" w:cs="Times New Roman"/>
          <w:sz w:val="24"/>
          <w:szCs w:val="24"/>
          <w:lang w:eastAsia="en-GB"/>
        </w:rPr>
      </w:pPr>
    </w:p>
    <w:p w:rsidR="008A14E8" w:rsidRPr="00611543" w:rsidRDefault="0025615E" w:rsidP="000512B5">
      <w:pPr>
        <w:numPr>
          <w:ilvl w:val="0"/>
          <w:numId w:val="7"/>
        </w:numPr>
        <w:tabs>
          <w:tab w:val="left" w:pos="1260"/>
          <w:tab w:val="left" w:pos="1261"/>
        </w:tabs>
        <w:spacing w:after="0" w:line="240" w:lineRule="auto"/>
        <w:ind w:left="426" w:hanging="426"/>
        <w:rPr>
          <w:rFonts w:ascii="Arial" w:eastAsia="Times New Roman" w:hAnsi="Arial" w:cs="Times New Roman"/>
          <w:b/>
          <w:sz w:val="24"/>
          <w:szCs w:val="24"/>
          <w:lang w:eastAsia="en-GB"/>
        </w:rPr>
      </w:pPr>
      <w:r w:rsidRPr="00611543">
        <w:rPr>
          <w:rFonts w:ascii="Arial" w:eastAsia="Times New Roman" w:hAnsi="Arial" w:cs="Times New Roman"/>
          <w:sz w:val="24"/>
          <w:szCs w:val="24"/>
          <w:lang w:eastAsia="en-GB"/>
        </w:rPr>
        <w:t xml:space="preserve">The text on the Council’s website will be updated once these proposed changes have been approved. </w:t>
      </w:r>
    </w:p>
    <w:p w:rsidR="00D16A7B" w:rsidRPr="008A14E8" w:rsidRDefault="00D16A7B" w:rsidP="0029202A">
      <w:pPr>
        <w:tabs>
          <w:tab w:val="left" w:pos="426"/>
          <w:tab w:val="left" w:pos="1260"/>
          <w:tab w:val="left" w:pos="1261"/>
        </w:tabs>
        <w:spacing w:after="0" w:line="240" w:lineRule="auto"/>
        <w:rPr>
          <w:rFonts w:ascii="Arial" w:eastAsia="Times New Roman" w:hAnsi="Arial" w:cs="Times New Roman"/>
          <w:b/>
          <w:color w:val="FF0000"/>
          <w:sz w:val="24"/>
          <w:szCs w:val="24"/>
          <w:lang w:eastAsia="en-GB"/>
        </w:rPr>
      </w:pPr>
    </w:p>
    <w:p w:rsidR="008A14E8" w:rsidRPr="009C48E2" w:rsidRDefault="002F0A38" w:rsidP="000512B5">
      <w:pPr>
        <w:spacing w:after="120" w:line="240" w:lineRule="auto"/>
        <w:ind w:left="426"/>
        <w:rPr>
          <w:rFonts w:ascii="Arial" w:eastAsia="Times New Roman" w:hAnsi="Arial" w:cs="Times New Roman"/>
          <w:b/>
          <w:sz w:val="24"/>
          <w:szCs w:val="24"/>
          <w:lang w:eastAsia="en-GB"/>
        </w:rPr>
      </w:pPr>
      <w:r>
        <w:rPr>
          <w:rFonts w:ascii="Arial" w:eastAsia="Times New Roman" w:hAnsi="Arial" w:cs="Times New Roman"/>
          <w:b/>
          <w:sz w:val="24"/>
          <w:szCs w:val="24"/>
          <w:lang w:eastAsia="en-GB"/>
        </w:rPr>
        <w:t>Initial tests</w:t>
      </w:r>
      <w:r w:rsidR="00B11F3D">
        <w:rPr>
          <w:rFonts w:ascii="Arial" w:eastAsia="Times New Roman" w:hAnsi="Arial" w:cs="Times New Roman"/>
          <w:b/>
          <w:sz w:val="24"/>
          <w:szCs w:val="24"/>
          <w:lang w:eastAsia="en-GB"/>
        </w:rPr>
        <w:t xml:space="preserve"> and assessment criteria</w:t>
      </w:r>
    </w:p>
    <w:p w:rsidR="000E128E" w:rsidRPr="000E128E" w:rsidRDefault="000E128E" w:rsidP="000512B5">
      <w:pPr>
        <w:numPr>
          <w:ilvl w:val="0"/>
          <w:numId w:val="7"/>
        </w:numPr>
        <w:spacing w:after="120" w:line="240" w:lineRule="auto"/>
        <w:ind w:left="426" w:hanging="426"/>
        <w:rPr>
          <w:rFonts w:ascii="Arial" w:eastAsia="Times New Roman" w:hAnsi="Arial" w:cs="Times New Roman"/>
          <w:sz w:val="24"/>
          <w:szCs w:val="24"/>
          <w:lang w:eastAsia="en-GB"/>
        </w:rPr>
      </w:pPr>
      <w:r w:rsidRPr="000E128E">
        <w:rPr>
          <w:rFonts w:ascii="Arial" w:eastAsia="Times New Roman" w:hAnsi="Arial" w:cs="Times New Roman"/>
          <w:sz w:val="24"/>
          <w:szCs w:val="24"/>
          <w:lang w:eastAsia="en-GB"/>
        </w:rPr>
        <w:lastRenderedPageBreak/>
        <w:t>Before any assessment of a complaint begins, the Monitoring Officer must be satisfied that the complaint meets the following “initial tests”:</w:t>
      </w:r>
    </w:p>
    <w:p w:rsidR="000E128E" w:rsidRPr="000E128E" w:rsidRDefault="000E128E" w:rsidP="0029202A">
      <w:pPr>
        <w:numPr>
          <w:ilvl w:val="0"/>
          <w:numId w:val="11"/>
        </w:numPr>
        <w:spacing w:after="120" w:line="240" w:lineRule="auto"/>
        <w:ind w:left="851" w:hanging="284"/>
        <w:rPr>
          <w:rFonts w:ascii="Arial" w:eastAsia="Times New Roman" w:hAnsi="Arial" w:cs="Times New Roman"/>
          <w:sz w:val="24"/>
          <w:szCs w:val="24"/>
          <w:lang w:eastAsia="en-GB"/>
        </w:rPr>
      </w:pPr>
      <w:r w:rsidRPr="000E128E">
        <w:rPr>
          <w:rFonts w:ascii="Arial" w:eastAsia="Times New Roman" w:hAnsi="Arial" w:cs="Times New Roman"/>
          <w:sz w:val="24"/>
          <w:szCs w:val="24"/>
          <w:lang w:eastAsia="en-GB"/>
        </w:rPr>
        <w:t xml:space="preserve">It is a complaint against one or more named Members of Oxford City Council or a Parish Council within the city boundaries; </w:t>
      </w:r>
    </w:p>
    <w:p w:rsidR="000E128E" w:rsidRPr="000E128E" w:rsidRDefault="000E128E">
      <w:pPr>
        <w:numPr>
          <w:ilvl w:val="0"/>
          <w:numId w:val="11"/>
        </w:numPr>
        <w:spacing w:after="120" w:line="240" w:lineRule="auto"/>
        <w:ind w:left="851" w:hanging="284"/>
        <w:rPr>
          <w:rFonts w:ascii="Arial" w:eastAsia="Times New Roman" w:hAnsi="Arial" w:cs="Times New Roman"/>
          <w:sz w:val="24"/>
          <w:szCs w:val="24"/>
          <w:lang w:eastAsia="en-GB"/>
        </w:rPr>
      </w:pPr>
      <w:r w:rsidRPr="000E128E">
        <w:rPr>
          <w:rFonts w:ascii="Arial" w:eastAsia="Times New Roman" w:hAnsi="Arial" w:cs="Times New Roman"/>
          <w:sz w:val="24"/>
          <w:szCs w:val="24"/>
          <w:lang w:eastAsia="en-GB"/>
        </w:rPr>
        <w:t xml:space="preserve">The named Member was in office at the time of the alleged conduct and the Code of Conduct was in force at the time; </w:t>
      </w:r>
    </w:p>
    <w:p w:rsidR="000E128E" w:rsidRDefault="000E128E" w:rsidP="00BD49C4">
      <w:pPr>
        <w:numPr>
          <w:ilvl w:val="0"/>
          <w:numId w:val="11"/>
        </w:numPr>
        <w:spacing w:after="0" w:line="240" w:lineRule="auto"/>
        <w:ind w:left="851" w:hanging="284"/>
        <w:rPr>
          <w:rFonts w:ascii="Arial" w:eastAsia="Times New Roman" w:hAnsi="Arial" w:cs="Times New Roman"/>
          <w:sz w:val="24"/>
          <w:szCs w:val="24"/>
          <w:lang w:eastAsia="en-GB"/>
        </w:rPr>
      </w:pPr>
      <w:r w:rsidRPr="000E128E">
        <w:rPr>
          <w:rFonts w:ascii="Arial" w:eastAsia="Times New Roman" w:hAnsi="Arial" w:cs="Times New Roman"/>
          <w:sz w:val="24"/>
          <w:szCs w:val="24"/>
          <w:lang w:eastAsia="en-GB"/>
        </w:rPr>
        <w:t>The complaint, if proven, would be a breach of the Code</w:t>
      </w:r>
      <w:r w:rsidR="002F0A38">
        <w:rPr>
          <w:rFonts w:ascii="Arial" w:eastAsia="Times New Roman" w:hAnsi="Arial" w:cs="Times New Roman"/>
          <w:sz w:val="24"/>
          <w:szCs w:val="24"/>
          <w:lang w:eastAsia="en-GB"/>
        </w:rPr>
        <w:t xml:space="preserve"> of Conduct</w:t>
      </w:r>
      <w:r w:rsidRPr="000E128E">
        <w:rPr>
          <w:rFonts w:ascii="Arial" w:eastAsia="Times New Roman" w:hAnsi="Arial" w:cs="Times New Roman"/>
          <w:sz w:val="24"/>
          <w:szCs w:val="24"/>
          <w:lang w:eastAsia="en-GB"/>
        </w:rPr>
        <w:t xml:space="preserve"> under which the Member was operating at the time of the alleged misconduct.</w:t>
      </w:r>
    </w:p>
    <w:p w:rsidR="00BD49C4" w:rsidRPr="000E128E" w:rsidRDefault="00BD49C4" w:rsidP="00BD49C4">
      <w:pPr>
        <w:spacing w:after="0" w:line="240" w:lineRule="auto"/>
        <w:ind w:left="567"/>
        <w:rPr>
          <w:rFonts w:ascii="Arial" w:eastAsia="Times New Roman" w:hAnsi="Arial" w:cs="Times New Roman"/>
          <w:sz w:val="24"/>
          <w:szCs w:val="24"/>
          <w:lang w:eastAsia="en-GB"/>
        </w:rPr>
      </w:pPr>
    </w:p>
    <w:p w:rsidR="00BD49C4" w:rsidRDefault="00BD49C4" w:rsidP="000512B5">
      <w:pPr>
        <w:pStyle w:val="ListParagraph"/>
        <w:numPr>
          <w:ilvl w:val="0"/>
          <w:numId w:val="7"/>
        </w:numPr>
        <w:spacing w:after="0" w:line="240" w:lineRule="auto"/>
        <w:ind w:left="426" w:hanging="426"/>
        <w:contextualSpacing w:val="0"/>
        <w:rPr>
          <w:rFonts w:ascii="Arial" w:eastAsia="Times New Roman" w:hAnsi="Arial" w:cs="Times New Roman"/>
          <w:sz w:val="24"/>
          <w:szCs w:val="24"/>
          <w:lang w:eastAsia="en-GB"/>
        </w:rPr>
      </w:pPr>
      <w:r w:rsidRPr="00BD49C4">
        <w:rPr>
          <w:rFonts w:ascii="Arial" w:eastAsia="Times New Roman" w:hAnsi="Arial" w:cs="Times New Roman"/>
          <w:sz w:val="24"/>
          <w:szCs w:val="24"/>
          <w:lang w:eastAsia="en-GB"/>
        </w:rPr>
        <w:t>If the complaint fails one or more of the “initial tests” it cannot be investigated as a breach of the code and no further action will be taken.</w:t>
      </w:r>
    </w:p>
    <w:p w:rsidR="00D16A7B" w:rsidRPr="00D16A7B" w:rsidRDefault="00D16A7B" w:rsidP="00D16A7B">
      <w:pPr>
        <w:spacing w:after="0" w:line="240" w:lineRule="auto"/>
        <w:rPr>
          <w:rFonts w:ascii="Arial" w:eastAsia="Times New Roman" w:hAnsi="Arial" w:cs="Times New Roman"/>
          <w:sz w:val="24"/>
          <w:szCs w:val="24"/>
          <w:lang w:eastAsia="en-GB"/>
        </w:rPr>
      </w:pPr>
    </w:p>
    <w:p w:rsidR="000E128E" w:rsidRDefault="00BD49C4" w:rsidP="000512B5">
      <w:pPr>
        <w:pStyle w:val="ListParagraph"/>
        <w:numPr>
          <w:ilvl w:val="0"/>
          <w:numId w:val="7"/>
        </w:numPr>
        <w:spacing w:after="0" w:line="240" w:lineRule="auto"/>
        <w:ind w:left="426" w:hanging="426"/>
        <w:contextualSpacing w:val="0"/>
        <w:rPr>
          <w:rFonts w:ascii="Arial" w:eastAsia="Times New Roman" w:hAnsi="Arial" w:cs="Times New Roman"/>
          <w:sz w:val="24"/>
          <w:szCs w:val="24"/>
          <w:lang w:eastAsia="en-GB"/>
        </w:rPr>
      </w:pPr>
      <w:r>
        <w:rPr>
          <w:rFonts w:ascii="Arial" w:eastAsia="Times New Roman" w:hAnsi="Arial" w:cs="Times New Roman"/>
          <w:sz w:val="24"/>
          <w:szCs w:val="24"/>
          <w:lang w:eastAsia="en-GB"/>
        </w:rPr>
        <w:t>I</w:t>
      </w:r>
      <w:r w:rsidR="000E128E" w:rsidRPr="002E3CF2">
        <w:rPr>
          <w:rFonts w:ascii="Arial" w:eastAsia="Times New Roman" w:hAnsi="Arial" w:cs="Times New Roman"/>
          <w:sz w:val="24"/>
          <w:szCs w:val="24"/>
          <w:lang w:eastAsia="en-GB"/>
        </w:rPr>
        <w:t xml:space="preserve">f the “initial tests” are met the Monitoring Officer, in consultation with an Independent Person, will consider the complaint </w:t>
      </w:r>
      <w:r w:rsidR="00E230CB">
        <w:rPr>
          <w:rFonts w:ascii="Arial" w:eastAsia="Times New Roman" w:hAnsi="Arial" w:cs="Times New Roman"/>
          <w:sz w:val="24"/>
          <w:szCs w:val="24"/>
          <w:lang w:eastAsia="en-GB"/>
        </w:rPr>
        <w:t>against</w:t>
      </w:r>
      <w:r w:rsidR="000E128E" w:rsidRPr="002E3CF2">
        <w:rPr>
          <w:rFonts w:ascii="Arial" w:eastAsia="Times New Roman" w:hAnsi="Arial" w:cs="Times New Roman"/>
          <w:sz w:val="24"/>
          <w:szCs w:val="24"/>
          <w:lang w:eastAsia="en-GB"/>
        </w:rPr>
        <w:t xml:space="preserve"> possible breaches of the Code of Conduct, and determine what action sho</w:t>
      </w:r>
      <w:r w:rsidR="001E13FB" w:rsidRPr="002E3CF2">
        <w:rPr>
          <w:rFonts w:ascii="Arial" w:eastAsia="Times New Roman" w:hAnsi="Arial" w:cs="Times New Roman"/>
          <w:sz w:val="24"/>
          <w:szCs w:val="24"/>
          <w:lang w:eastAsia="en-GB"/>
        </w:rPr>
        <w:t>uld be taken.</w:t>
      </w:r>
      <w:r w:rsidR="002E3CF2" w:rsidRPr="002E3CF2">
        <w:rPr>
          <w:rFonts w:ascii="Arial" w:eastAsia="Times New Roman" w:hAnsi="Arial" w:cs="Times New Roman"/>
          <w:sz w:val="24"/>
          <w:szCs w:val="24"/>
          <w:lang w:eastAsia="en-GB"/>
        </w:rPr>
        <w:t xml:space="preserve"> </w:t>
      </w:r>
      <w:r w:rsidR="00E230CB">
        <w:rPr>
          <w:rFonts w:ascii="Arial" w:eastAsia="Times New Roman" w:hAnsi="Arial" w:cs="Times New Roman"/>
          <w:sz w:val="24"/>
          <w:szCs w:val="24"/>
          <w:lang w:eastAsia="en-GB"/>
        </w:rPr>
        <w:t xml:space="preserve">It is not always necessary to take action against each complaint.  </w:t>
      </w:r>
      <w:r w:rsidR="002E3CF2" w:rsidRPr="002E3CF2">
        <w:rPr>
          <w:rFonts w:ascii="Arial" w:eastAsia="Times New Roman" w:hAnsi="Arial" w:cs="Times New Roman"/>
          <w:sz w:val="24"/>
          <w:szCs w:val="24"/>
          <w:lang w:eastAsia="en-GB"/>
        </w:rPr>
        <w:t>T</w:t>
      </w:r>
      <w:r w:rsidR="000E128E" w:rsidRPr="002E3CF2">
        <w:rPr>
          <w:rFonts w:ascii="Arial" w:eastAsia="Times New Roman" w:hAnsi="Arial" w:cs="Times New Roman"/>
          <w:sz w:val="24"/>
          <w:szCs w:val="24"/>
          <w:lang w:eastAsia="en-GB"/>
        </w:rPr>
        <w:t>he Monitoring Officer has authority to decide the final action taken in respect of the complaint, having due regard to the advice of the Independent Person.</w:t>
      </w:r>
    </w:p>
    <w:p w:rsidR="00F6579F" w:rsidRPr="00F6579F" w:rsidRDefault="00F6579F" w:rsidP="00B11F3D">
      <w:pPr>
        <w:spacing w:after="0" w:line="240" w:lineRule="auto"/>
        <w:rPr>
          <w:rFonts w:ascii="Arial" w:eastAsia="Times New Roman" w:hAnsi="Arial" w:cs="Times New Roman"/>
          <w:sz w:val="24"/>
          <w:szCs w:val="24"/>
          <w:lang w:eastAsia="en-GB"/>
        </w:rPr>
      </w:pPr>
    </w:p>
    <w:p w:rsidR="000E128E" w:rsidRPr="000512B5" w:rsidRDefault="008E6311" w:rsidP="000512B5">
      <w:pPr>
        <w:numPr>
          <w:ilvl w:val="0"/>
          <w:numId w:val="7"/>
        </w:numPr>
        <w:tabs>
          <w:tab w:val="left" w:pos="426"/>
        </w:tabs>
        <w:spacing w:after="120" w:line="240" w:lineRule="auto"/>
        <w:ind w:left="426" w:hanging="426"/>
        <w:rPr>
          <w:rFonts w:ascii="Arial" w:eastAsia="Times New Roman" w:hAnsi="Arial" w:cs="Times New Roman"/>
          <w:color w:val="FF0000"/>
          <w:sz w:val="24"/>
          <w:szCs w:val="24"/>
          <w:lang w:eastAsia="en-GB"/>
        </w:rPr>
      </w:pPr>
      <w:r w:rsidRPr="009438E3">
        <w:rPr>
          <w:rFonts w:ascii="Arial" w:eastAsia="Times New Roman" w:hAnsi="Arial" w:cs="Times New Roman"/>
          <w:sz w:val="24"/>
          <w:szCs w:val="24"/>
          <w:lang w:eastAsia="en-GB"/>
        </w:rPr>
        <w:t>It is proposed that when reviewing Code of Conduct complaints the Monitoring Officer, in consultation with an Independent Person(s), should have regard to the following assessment criteria:</w:t>
      </w:r>
    </w:p>
    <w:p w:rsidR="000512B5" w:rsidRPr="009438E3" w:rsidRDefault="000512B5" w:rsidP="000512B5">
      <w:pPr>
        <w:tabs>
          <w:tab w:val="left" w:pos="426"/>
        </w:tabs>
        <w:spacing w:after="120" w:line="240" w:lineRule="auto"/>
        <w:rPr>
          <w:rFonts w:ascii="Arial" w:eastAsia="Times New Roman" w:hAnsi="Arial" w:cs="Times New Roman"/>
          <w:color w:val="FF0000"/>
          <w:sz w:val="24"/>
          <w:szCs w:val="24"/>
          <w:lang w:eastAsia="en-GB"/>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9"/>
        <w:gridCol w:w="6209"/>
      </w:tblGrid>
      <w:tr w:rsidR="008A14E8" w:rsidRPr="000512B5" w:rsidTr="008E6311">
        <w:tc>
          <w:tcPr>
            <w:tcW w:w="2499" w:type="dxa"/>
          </w:tcPr>
          <w:p w:rsidR="008A14E8" w:rsidRPr="000512B5" w:rsidRDefault="008A14E8" w:rsidP="0029202A">
            <w:pPr>
              <w:tabs>
                <w:tab w:val="left" w:pos="426"/>
              </w:tabs>
              <w:spacing w:before="120"/>
              <w:rPr>
                <w:b/>
                <w:color w:val="FF0000"/>
                <w:sz w:val="24"/>
              </w:rPr>
            </w:pPr>
            <w:r w:rsidRPr="000512B5">
              <w:rPr>
                <w:b/>
                <w:sz w:val="24"/>
              </w:rPr>
              <w:t>Adequate information</w:t>
            </w:r>
          </w:p>
        </w:tc>
        <w:tc>
          <w:tcPr>
            <w:tcW w:w="6209" w:type="dxa"/>
          </w:tcPr>
          <w:p w:rsidR="008A14E8" w:rsidRPr="000512B5" w:rsidRDefault="008A14E8" w:rsidP="0029202A">
            <w:pPr>
              <w:autoSpaceDE w:val="0"/>
              <w:autoSpaceDN w:val="0"/>
              <w:adjustRightInd w:val="0"/>
              <w:spacing w:before="120"/>
              <w:rPr>
                <w:rFonts w:cs="Arial"/>
                <w:sz w:val="24"/>
              </w:rPr>
            </w:pPr>
            <w:r w:rsidRPr="000512B5">
              <w:rPr>
                <w:rFonts w:cs="Arial"/>
                <w:sz w:val="24"/>
              </w:rPr>
              <w:t xml:space="preserve">The Monitoring Officer must be satisfied that there is sufficient information available </w:t>
            </w:r>
            <w:r w:rsidR="009438E3" w:rsidRPr="000512B5">
              <w:rPr>
                <w:rFonts w:cs="Arial"/>
                <w:sz w:val="24"/>
              </w:rPr>
              <w:t>at the “initial test and assessment stage”</w:t>
            </w:r>
            <w:r w:rsidRPr="000512B5">
              <w:rPr>
                <w:rFonts w:cs="Arial"/>
                <w:sz w:val="24"/>
              </w:rPr>
              <w:t xml:space="preserve"> to decide whether the complaint should be referred for investigation or other action. </w:t>
            </w:r>
          </w:p>
          <w:p w:rsidR="008A14E8" w:rsidRPr="000512B5" w:rsidRDefault="008A14E8" w:rsidP="00A21842">
            <w:pPr>
              <w:spacing w:before="120"/>
              <w:rPr>
                <w:sz w:val="24"/>
              </w:rPr>
            </w:pPr>
            <w:r w:rsidRPr="000512B5">
              <w:rPr>
                <w:sz w:val="24"/>
              </w:rPr>
              <w:t xml:space="preserve">The Monitoring Officer may provide other information which is readily available and which may assist in </w:t>
            </w:r>
            <w:r w:rsidR="009438E3" w:rsidRPr="000512B5">
              <w:rPr>
                <w:sz w:val="24"/>
              </w:rPr>
              <w:t>the</w:t>
            </w:r>
            <w:r w:rsidRPr="000512B5">
              <w:rPr>
                <w:sz w:val="24"/>
              </w:rPr>
              <w:t xml:space="preserve"> consideration of the complaint</w:t>
            </w:r>
            <w:r w:rsidR="009438E3" w:rsidRPr="000512B5">
              <w:rPr>
                <w:sz w:val="24"/>
              </w:rPr>
              <w:t xml:space="preserve"> </w:t>
            </w:r>
            <w:r w:rsidR="009438E3" w:rsidRPr="000512B5">
              <w:rPr>
                <w:rFonts w:cs="Arial"/>
                <w:sz w:val="24"/>
              </w:rPr>
              <w:t>“initial test and assessment stage”</w:t>
            </w:r>
            <w:r w:rsidRPr="000512B5">
              <w:rPr>
                <w:sz w:val="24"/>
              </w:rPr>
              <w:t xml:space="preserve">. This may include </w:t>
            </w:r>
            <w:r w:rsidR="00E230CB" w:rsidRPr="000512B5">
              <w:rPr>
                <w:sz w:val="24"/>
              </w:rPr>
              <w:t xml:space="preserve">details of attendees at events, </w:t>
            </w:r>
            <w:r w:rsidRPr="000512B5">
              <w:rPr>
                <w:sz w:val="24"/>
              </w:rPr>
              <w:t>copies of agendas, reports and minutes of meetings or copies of the Members entry in the Register of Members’ Interests. It will not include conducting interviews with witnesses.</w:t>
            </w:r>
          </w:p>
          <w:p w:rsidR="008A14E8" w:rsidRPr="000512B5" w:rsidRDefault="008A14E8">
            <w:pPr>
              <w:autoSpaceDE w:val="0"/>
              <w:autoSpaceDN w:val="0"/>
              <w:adjustRightInd w:val="0"/>
              <w:spacing w:before="120"/>
              <w:rPr>
                <w:rFonts w:cs="Arial"/>
                <w:sz w:val="24"/>
              </w:rPr>
            </w:pPr>
            <w:r w:rsidRPr="000512B5">
              <w:rPr>
                <w:sz w:val="24"/>
              </w:rPr>
              <w:t>If insufficient information is available, the Monitoring Officer will not normally refer the complaint for investigation or other action.</w:t>
            </w:r>
          </w:p>
        </w:tc>
      </w:tr>
      <w:tr w:rsidR="008A14E8" w:rsidRPr="000512B5" w:rsidTr="008E6311">
        <w:tc>
          <w:tcPr>
            <w:tcW w:w="2499" w:type="dxa"/>
          </w:tcPr>
          <w:p w:rsidR="008A14E8" w:rsidRPr="000512B5" w:rsidRDefault="008A14E8" w:rsidP="0029202A">
            <w:pPr>
              <w:tabs>
                <w:tab w:val="left" w:pos="426"/>
              </w:tabs>
              <w:spacing w:before="120"/>
              <w:rPr>
                <w:b/>
                <w:color w:val="FF0000"/>
                <w:sz w:val="24"/>
              </w:rPr>
            </w:pPr>
            <w:r w:rsidRPr="000512B5">
              <w:rPr>
                <w:b/>
                <w:sz w:val="24"/>
              </w:rPr>
              <w:t>Official capacity</w:t>
            </w:r>
          </w:p>
        </w:tc>
        <w:tc>
          <w:tcPr>
            <w:tcW w:w="6209" w:type="dxa"/>
          </w:tcPr>
          <w:p w:rsidR="008A14E8" w:rsidRPr="000512B5" w:rsidRDefault="008E6311" w:rsidP="0029202A">
            <w:pPr>
              <w:autoSpaceDE w:val="0"/>
              <w:autoSpaceDN w:val="0"/>
              <w:adjustRightInd w:val="0"/>
              <w:spacing w:before="120"/>
              <w:rPr>
                <w:sz w:val="24"/>
              </w:rPr>
            </w:pPr>
            <w:r w:rsidRPr="000512B5">
              <w:rPr>
                <w:rFonts w:cs="Arial"/>
                <w:sz w:val="24"/>
              </w:rPr>
              <w:t xml:space="preserve">The Monitoring Officer must be satisfied that that </w:t>
            </w:r>
            <w:r w:rsidR="008A14E8" w:rsidRPr="000512B5">
              <w:rPr>
                <w:rFonts w:cs="Arial"/>
                <w:sz w:val="24"/>
              </w:rPr>
              <w:t>the Subject Member</w:t>
            </w:r>
            <w:r w:rsidRPr="000512B5">
              <w:rPr>
                <w:rFonts w:cs="Arial"/>
                <w:sz w:val="24"/>
              </w:rPr>
              <w:t xml:space="preserve"> was</w:t>
            </w:r>
            <w:r w:rsidR="008A14E8" w:rsidRPr="000512B5">
              <w:rPr>
                <w:rFonts w:cs="Arial"/>
                <w:sz w:val="24"/>
              </w:rPr>
              <w:t xml:space="preserve"> acting in an official capacity</w:t>
            </w:r>
            <w:r w:rsidRPr="000512B5">
              <w:rPr>
                <w:rFonts w:cs="Arial"/>
                <w:sz w:val="24"/>
              </w:rPr>
              <w:t>.</w:t>
            </w:r>
          </w:p>
        </w:tc>
      </w:tr>
      <w:tr w:rsidR="008A14E8" w:rsidRPr="000512B5" w:rsidTr="008E6311">
        <w:tc>
          <w:tcPr>
            <w:tcW w:w="2499" w:type="dxa"/>
          </w:tcPr>
          <w:p w:rsidR="008A14E8" w:rsidRPr="000512B5" w:rsidRDefault="008A14E8" w:rsidP="0029202A">
            <w:pPr>
              <w:tabs>
                <w:tab w:val="left" w:pos="426"/>
              </w:tabs>
              <w:spacing w:before="120"/>
              <w:rPr>
                <w:b/>
                <w:color w:val="FF0000"/>
                <w:sz w:val="24"/>
              </w:rPr>
            </w:pPr>
            <w:r w:rsidRPr="000512B5">
              <w:rPr>
                <w:b/>
                <w:sz w:val="24"/>
              </w:rPr>
              <w:t>Timescale</w:t>
            </w:r>
          </w:p>
        </w:tc>
        <w:tc>
          <w:tcPr>
            <w:tcW w:w="6209" w:type="dxa"/>
          </w:tcPr>
          <w:p w:rsidR="008A14E8" w:rsidRPr="000512B5" w:rsidRDefault="008A14E8" w:rsidP="0029202A">
            <w:pPr>
              <w:autoSpaceDE w:val="0"/>
              <w:autoSpaceDN w:val="0"/>
              <w:adjustRightInd w:val="0"/>
              <w:spacing w:before="120"/>
              <w:rPr>
                <w:rFonts w:cs="Arial"/>
                <w:sz w:val="24"/>
              </w:rPr>
            </w:pPr>
            <w:r w:rsidRPr="000512B5">
              <w:rPr>
                <w:rFonts w:cs="Arial"/>
                <w:sz w:val="24"/>
              </w:rPr>
              <w:t xml:space="preserve">The </w:t>
            </w:r>
            <w:r w:rsidR="008E6311" w:rsidRPr="000512B5">
              <w:rPr>
                <w:rFonts w:cs="Arial"/>
                <w:sz w:val="24"/>
              </w:rPr>
              <w:t>Monitoring Officer</w:t>
            </w:r>
            <w:r w:rsidRPr="000512B5">
              <w:rPr>
                <w:rFonts w:cs="Arial"/>
                <w:sz w:val="24"/>
              </w:rPr>
              <w:t xml:space="preserve"> will take into account when the events subject to the complaint took place and will not normally investigate or pursue other action if the events occurred more than 6 months prior to the complaint being submitted other than in exceptional </w:t>
            </w:r>
            <w:r w:rsidRPr="000512B5">
              <w:rPr>
                <w:rFonts w:cs="Arial"/>
                <w:sz w:val="24"/>
              </w:rPr>
              <w:lastRenderedPageBreak/>
              <w:t>circumstances, such as where the conduct relates to a pattern of behaviour which has recently been repeated.</w:t>
            </w:r>
          </w:p>
        </w:tc>
      </w:tr>
      <w:tr w:rsidR="008A14E8" w:rsidRPr="000512B5" w:rsidTr="008E6311">
        <w:tc>
          <w:tcPr>
            <w:tcW w:w="2499" w:type="dxa"/>
          </w:tcPr>
          <w:p w:rsidR="008A14E8" w:rsidRPr="000512B5" w:rsidRDefault="008A14E8" w:rsidP="0029202A">
            <w:pPr>
              <w:tabs>
                <w:tab w:val="left" w:pos="426"/>
              </w:tabs>
              <w:spacing w:before="120"/>
              <w:rPr>
                <w:b/>
                <w:color w:val="FF0000"/>
                <w:sz w:val="24"/>
              </w:rPr>
            </w:pPr>
            <w:r w:rsidRPr="000512B5">
              <w:rPr>
                <w:b/>
                <w:sz w:val="24"/>
              </w:rPr>
              <w:lastRenderedPageBreak/>
              <w:t>Seriousness</w:t>
            </w:r>
          </w:p>
        </w:tc>
        <w:tc>
          <w:tcPr>
            <w:tcW w:w="6209" w:type="dxa"/>
          </w:tcPr>
          <w:p w:rsidR="009C48E2" w:rsidRPr="000512B5" w:rsidRDefault="008A14E8" w:rsidP="0029202A">
            <w:pPr>
              <w:autoSpaceDE w:val="0"/>
              <w:autoSpaceDN w:val="0"/>
              <w:adjustRightInd w:val="0"/>
              <w:spacing w:before="120"/>
              <w:rPr>
                <w:rFonts w:cs="Arial"/>
                <w:sz w:val="24"/>
              </w:rPr>
            </w:pPr>
            <w:r w:rsidRPr="000512B5">
              <w:rPr>
                <w:rFonts w:cs="Arial"/>
                <w:sz w:val="24"/>
              </w:rPr>
              <w:t xml:space="preserve">The Monitoring Officer will not normally refer a matter for investigation or other action if it is considered trivial, malicious, </w:t>
            </w:r>
            <w:r w:rsidRPr="000512B5">
              <w:rPr>
                <w:sz w:val="24"/>
              </w:rPr>
              <w:t>vexatious</w:t>
            </w:r>
            <w:r w:rsidRPr="000512B5">
              <w:rPr>
                <w:rFonts w:cs="Arial"/>
                <w:sz w:val="24"/>
              </w:rPr>
              <w:t>, politically motivated or tit-for-tat</w:t>
            </w:r>
            <w:r w:rsidR="009C48E2" w:rsidRPr="000512B5">
              <w:rPr>
                <w:rFonts w:cs="Arial"/>
                <w:sz w:val="24"/>
              </w:rPr>
              <w:t>.</w:t>
            </w:r>
          </w:p>
          <w:p w:rsidR="008A14E8" w:rsidRPr="000512B5" w:rsidRDefault="009C48E2" w:rsidP="00A21842">
            <w:pPr>
              <w:autoSpaceDE w:val="0"/>
              <w:autoSpaceDN w:val="0"/>
              <w:adjustRightInd w:val="0"/>
              <w:spacing w:before="120"/>
              <w:rPr>
                <w:rFonts w:cs="Arial"/>
                <w:sz w:val="24"/>
              </w:rPr>
            </w:pPr>
            <w:r w:rsidRPr="000512B5">
              <w:rPr>
                <w:rFonts w:cs="Arial"/>
                <w:sz w:val="24"/>
              </w:rPr>
              <w:t xml:space="preserve">Where the complaint appears to relate to the “rough and tumble of political debate” and pertains to conduct between Members or Members and co-opted Members rather than between Members and the public or officers, </w:t>
            </w:r>
            <w:r w:rsidR="00497C7D" w:rsidRPr="000512B5">
              <w:rPr>
                <w:rFonts w:cs="Arial"/>
                <w:sz w:val="24"/>
              </w:rPr>
              <w:t xml:space="preserve">in most instances </w:t>
            </w:r>
            <w:r w:rsidRPr="000512B5">
              <w:rPr>
                <w:rFonts w:cs="Arial"/>
                <w:sz w:val="24"/>
              </w:rPr>
              <w:t>no further action will be taken.</w:t>
            </w:r>
          </w:p>
        </w:tc>
      </w:tr>
      <w:tr w:rsidR="008A14E8" w:rsidRPr="000512B5" w:rsidTr="00F35ABF">
        <w:trPr>
          <w:trHeight w:val="689"/>
        </w:trPr>
        <w:tc>
          <w:tcPr>
            <w:tcW w:w="2499" w:type="dxa"/>
          </w:tcPr>
          <w:p w:rsidR="008A14E8" w:rsidRPr="000512B5" w:rsidRDefault="008A14E8" w:rsidP="0029202A">
            <w:pPr>
              <w:tabs>
                <w:tab w:val="left" w:pos="426"/>
              </w:tabs>
              <w:spacing w:before="120"/>
              <w:rPr>
                <w:b/>
                <w:sz w:val="24"/>
              </w:rPr>
            </w:pPr>
            <w:r w:rsidRPr="000512B5">
              <w:rPr>
                <w:b/>
                <w:sz w:val="24"/>
              </w:rPr>
              <w:t xml:space="preserve">Public interest </w:t>
            </w:r>
          </w:p>
        </w:tc>
        <w:tc>
          <w:tcPr>
            <w:tcW w:w="6209" w:type="dxa"/>
          </w:tcPr>
          <w:p w:rsidR="002E3CF2" w:rsidRPr="000512B5" w:rsidRDefault="002E3CF2" w:rsidP="0029202A">
            <w:pPr>
              <w:autoSpaceDE w:val="0"/>
              <w:autoSpaceDN w:val="0"/>
              <w:adjustRightInd w:val="0"/>
              <w:spacing w:before="120"/>
              <w:rPr>
                <w:rFonts w:cs="Arial"/>
                <w:sz w:val="24"/>
              </w:rPr>
            </w:pPr>
            <w:r w:rsidRPr="000512B5">
              <w:rPr>
                <w:rFonts w:cs="Arial"/>
                <w:sz w:val="24"/>
              </w:rPr>
              <w:t xml:space="preserve">Consideration will be given as to whether the public interest would be served by referring a complaint for investigation or other action. </w:t>
            </w:r>
          </w:p>
          <w:p w:rsidR="002E3CF2" w:rsidRPr="000512B5" w:rsidRDefault="002E3CF2" w:rsidP="0029202A">
            <w:pPr>
              <w:pStyle w:val="ListParagraph"/>
              <w:numPr>
                <w:ilvl w:val="0"/>
                <w:numId w:val="16"/>
              </w:numPr>
              <w:autoSpaceDE w:val="0"/>
              <w:autoSpaceDN w:val="0"/>
              <w:adjustRightInd w:val="0"/>
              <w:spacing w:before="120"/>
              <w:ind w:left="357" w:hanging="357"/>
              <w:contextualSpacing w:val="0"/>
              <w:rPr>
                <w:rFonts w:cs="Arial"/>
                <w:sz w:val="24"/>
              </w:rPr>
            </w:pPr>
            <w:r w:rsidRPr="000512B5">
              <w:rPr>
                <w:rFonts w:cs="Arial"/>
                <w:sz w:val="24"/>
              </w:rPr>
              <w:t xml:space="preserve">the public interest would not </w:t>
            </w:r>
            <w:r w:rsidR="002F0A38" w:rsidRPr="000512B5">
              <w:rPr>
                <w:rFonts w:cs="Arial"/>
                <w:sz w:val="24"/>
              </w:rPr>
              <w:t xml:space="preserve">normally </w:t>
            </w:r>
            <w:r w:rsidRPr="000512B5">
              <w:rPr>
                <w:rFonts w:cs="Arial"/>
                <w:sz w:val="24"/>
              </w:rPr>
              <w:t>be served where, for instance, a member has died, resigned or is seriously ill.</w:t>
            </w:r>
          </w:p>
          <w:p w:rsidR="002E3CF2" w:rsidRPr="000512B5" w:rsidRDefault="002E3CF2" w:rsidP="00A21842">
            <w:pPr>
              <w:pStyle w:val="ListParagraph"/>
              <w:numPr>
                <w:ilvl w:val="0"/>
                <w:numId w:val="15"/>
              </w:numPr>
              <w:autoSpaceDE w:val="0"/>
              <w:autoSpaceDN w:val="0"/>
              <w:adjustRightInd w:val="0"/>
              <w:spacing w:before="120"/>
              <w:ind w:left="357" w:hanging="357"/>
              <w:contextualSpacing w:val="0"/>
              <w:rPr>
                <w:rFonts w:cs="Arial"/>
                <w:sz w:val="24"/>
              </w:rPr>
            </w:pPr>
            <w:r w:rsidRPr="000512B5">
              <w:rPr>
                <w:rFonts w:cs="Arial"/>
                <w:sz w:val="24"/>
              </w:rPr>
              <w:t>If the complaint has already been the subject of an investigation or other action relating to the Code of Conduct or the subject of an investigation by other regulatory authorities, it is unlikely that it will be referred for investigation or other action unless it is evident that the public interest will be served by further action being taken.</w:t>
            </w:r>
          </w:p>
          <w:p w:rsidR="001E13FB" w:rsidRPr="000512B5" w:rsidRDefault="008A14E8" w:rsidP="00B11F3D">
            <w:pPr>
              <w:numPr>
                <w:ilvl w:val="0"/>
                <w:numId w:val="2"/>
              </w:numPr>
              <w:autoSpaceDE w:val="0"/>
              <w:autoSpaceDN w:val="0"/>
              <w:adjustRightInd w:val="0"/>
              <w:spacing w:before="120"/>
              <w:ind w:left="357" w:hanging="357"/>
              <w:rPr>
                <w:rFonts w:cs="Arial"/>
                <w:sz w:val="24"/>
              </w:rPr>
            </w:pPr>
            <w:r w:rsidRPr="000512B5">
              <w:rPr>
                <w:rFonts w:cs="Arial"/>
                <w:sz w:val="24"/>
              </w:rPr>
              <w:t xml:space="preserve">If the complaint relates to an ex-Member of Oxford City </w:t>
            </w:r>
            <w:r w:rsidR="002F0A38" w:rsidRPr="000512B5">
              <w:rPr>
                <w:rFonts w:cs="Arial"/>
                <w:sz w:val="24"/>
              </w:rPr>
              <w:t xml:space="preserve">Council </w:t>
            </w:r>
            <w:r w:rsidRPr="000512B5">
              <w:rPr>
                <w:rFonts w:cs="Arial"/>
                <w:sz w:val="24"/>
              </w:rPr>
              <w:t xml:space="preserve">or one of the </w:t>
            </w:r>
            <w:r w:rsidR="00B11F3D" w:rsidRPr="000512B5">
              <w:rPr>
                <w:rFonts w:cs="Arial"/>
                <w:sz w:val="24"/>
              </w:rPr>
              <w:t xml:space="preserve">parish councils </w:t>
            </w:r>
            <w:r w:rsidRPr="000512B5">
              <w:rPr>
                <w:rFonts w:cs="Arial"/>
                <w:sz w:val="24"/>
              </w:rPr>
              <w:t xml:space="preserve">within the city boundary who is now a Member of another </w:t>
            </w:r>
            <w:r w:rsidR="00B11F3D" w:rsidRPr="000512B5">
              <w:rPr>
                <w:rFonts w:cs="Arial"/>
                <w:sz w:val="24"/>
              </w:rPr>
              <w:t xml:space="preserve">authority </w:t>
            </w:r>
            <w:r w:rsidRPr="000512B5">
              <w:rPr>
                <w:rFonts w:cs="Arial"/>
                <w:sz w:val="24"/>
              </w:rPr>
              <w:t xml:space="preserve">the Monitoring Officer may refer the matter to that </w:t>
            </w:r>
            <w:r w:rsidR="00B11F3D" w:rsidRPr="000512B5">
              <w:rPr>
                <w:rFonts w:cs="Arial"/>
                <w:sz w:val="24"/>
              </w:rPr>
              <w:t xml:space="preserve">authority </w:t>
            </w:r>
            <w:r w:rsidRPr="000512B5">
              <w:rPr>
                <w:rFonts w:cs="Arial"/>
                <w:sz w:val="24"/>
              </w:rPr>
              <w:t>for consideration.</w:t>
            </w:r>
          </w:p>
        </w:tc>
      </w:tr>
      <w:tr w:rsidR="002E3CF2" w:rsidRPr="000512B5" w:rsidTr="002E3CF2">
        <w:trPr>
          <w:trHeight w:val="2106"/>
        </w:trPr>
        <w:tc>
          <w:tcPr>
            <w:tcW w:w="2499" w:type="dxa"/>
          </w:tcPr>
          <w:p w:rsidR="002E3CF2" w:rsidRPr="000512B5" w:rsidRDefault="002E3CF2" w:rsidP="0029202A">
            <w:pPr>
              <w:pStyle w:val="Default"/>
              <w:spacing w:before="120"/>
              <w:ind w:left="357" w:hanging="357"/>
              <w:rPr>
                <w:color w:val="auto"/>
                <w:szCs w:val="20"/>
              </w:rPr>
            </w:pPr>
            <w:r w:rsidRPr="000512B5">
              <w:rPr>
                <w:b/>
                <w:bCs/>
                <w:color w:val="auto"/>
                <w:szCs w:val="20"/>
              </w:rPr>
              <w:t xml:space="preserve">Multiple Complaints </w:t>
            </w:r>
          </w:p>
          <w:p w:rsidR="002E3CF2" w:rsidRPr="000512B5" w:rsidRDefault="002E3CF2" w:rsidP="0029202A">
            <w:pPr>
              <w:rPr>
                <w:b/>
                <w:sz w:val="24"/>
              </w:rPr>
            </w:pPr>
          </w:p>
        </w:tc>
        <w:tc>
          <w:tcPr>
            <w:tcW w:w="6209" w:type="dxa"/>
          </w:tcPr>
          <w:p w:rsidR="002E3CF2" w:rsidRPr="000512B5" w:rsidRDefault="002E3CF2" w:rsidP="00A21842">
            <w:pPr>
              <w:pStyle w:val="Default"/>
              <w:spacing w:before="120"/>
              <w:rPr>
                <w:color w:val="auto"/>
              </w:rPr>
            </w:pPr>
            <w:r w:rsidRPr="000512B5">
              <w:rPr>
                <w:color w:val="auto"/>
                <w:szCs w:val="20"/>
              </w:rPr>
              <w:t xml:space="preserve">A single event may give rise to similar complaints from a number of complainants. Where possible these complaints will be considered by the Monitoring Officer at the same time. Each complaint will, however, be determined separately. If an investigation is deemed to be appropriate the Monitoring Officer may decide that, in the interests of efficiency, only one complaint should go forward for investigation, with the other complainants being treated as potential witnesses in that investigation. </w:t>
            </w:r>
          </w:p>
        </w:tc>
      </w:tr>
    </w:tbl>
    <w:p w:rsidR="008A14E8" w:rsidRPr="008A14E8" w:rsidRDefault="008A14E8" w:rsidP="0029202A">
      <w:pPr>
        <w:spacing w:after="0" w:line="240" w:lineRule="auto"/>
        <w:rPr>
          <w:rFonts w:ascii="Arial" w:eastAsia="Times New Roman" w:hAnsi="Arial" w:cs="Times New Roman"/>
          <w:color w:val="FF0000"/>
          <w:sz w:val="24"/>
          <w:szCs w:val="24"/>
          <w:lang w:eastAsia="en-GB"/>
        </w:rPr>
      </w:pPr>
      <w:r w:rsidRPr="008A14E8">
        <w:rPr>
          <w:rFonts w:ascii="Arial" w:eastAsia="Times New Roman" w:hAnsi="Arial" w:cs="Times New Roman"/>
          <w:color w:val="FF0000"/>
          <w:sz w:val="24"/>
          <w:szCs w:val="24"/>
          <w:lang w:eastAsia="en-GB"/>
        </w:rPr>
        <w:t xml:space="preserve"> </w:t>
      </w:r>
    </w:p>
    <w:p w:rsidR="008334F7" w:rsidRDefault="008334F7" w:rsidP="000512B5">
      <w:pPr>
        <w:numPr>
          <w:ilvl w:val="0"/>
          <w:numId w:val="7"/>
        </w:numPr>
        <w:spacing w:after="0" w:line="240" w:lineRule="auto"/>
        <w:ind w:left="426" w:hanging="426"/>
        <w:rPr>
          <w:rFonts w:ascii="Arial" w:eastAsia="Times New Roman" w:hAnsi="Arial" w:cs="Times New Roman"/>
          <w:sz w:val="24"/>
          <w:szCs w:val="24"/>
          <w:lang w:eastAsia="en-GB"/>
        </w:rPr>
      </w:pPr>
      <w:r w:rsidRPr="00B3667C">
        <w:rPr>
          <w:rFonts w:ascii="Arial" w:eastAsia="Times New Roman" w:hAnsi="Arial" w:cs="Times New Roman"/>
          <w:sz w:val="24"/>
          <w:szCs w:val="24"/>
          <w:lang w:eastAsia="en-GB"/>
        </w:rPr>
        <w:t xml:space="preserve">Each complaint will be assessed on its own merits and the proposed </w:t>
      </w:r>
      <w:r w:rsidR="008E6311">
        <w:rPr>
          <w:rFonts w:ascii="Arial" w:eastAsia="Times New Roman" w:hAnsi="Arial" w:cs="Times New Roman"/>
          <w:sz w:val="24"/>
          <w:szCs w:val="24"/>
          <w:lang w:eastAsia="en-GB"/>
        </w:rPr>
        <w:t xml:space="preserve">assessment </w:t>
      </w:r>
      <w:r w:rsidRPr="00B3667C">
        <w:rPr>
          <w:rFonts w:ascii="Arial" w:eastAsia="Times New Roman" w:hAnsi="Arial" w:cs="Times New Roman"/>
          <w:sz w:val="24"/>
          <w:szCs w:val="24"/>
          <w:lang w:eastAsia="en-GB"/>
        </w:rPr>
        <w:t xml:space="preserve">criteria are not presented as an exhaustive list of the issues to be considered.  But they do provide a framework </w:t>
      </w:r>
      <w:r w:rsidR="00B3667C" w:rsidRPr="00B3667C">
        <w:rPr>
          <w:rFonts w:ascii="Arial" w:eastAsia="Times New Roman" w:hAnsi="Arial" w:cs="Times New Roman"/>
          <w:sz w:val="24"/>
          <w:szCs w:val="24"/>
          <w:lang w:eastAsia="en-GB"/>
        </w:rPr>
        <w:t xml:space="preserve">for the Monitoring Officer, and Independent Persons, </w:t>
      </w:r>
      <w:r w:rsidR="0029202A">
        <w:rPr>
          <w:rFonts w:ascii="Arial" w:eastAsia="Times New Roman" w:hAnsi="Arial" w:cs="Times New Roman"/>
          <w:sz w:val="24"/>
          <w:szCs w:val="24"/>
          <w:lang w:eastAsia="en-GB"/>
        </w:rPr>
        <w:t xml:space="preserve">to use </w:t>
      </w:r>
      <w:r w:rsidR="00B3667C" w:rsidRPr="00B3667C">
        <w:rPr>
          <w:rFonts w:ascii="Arial" w:eastAsia="Times New Roman" w:hAnsi="Arial" w:cs="Times New Roman"/>
          <w:sz w:val="24"/>
          <w:szCs w:val="24"/>
          <w:lang w:eastAsia="en-GB"/>
        </w:rPr>
        <w:t>in reaching a decision on whether a complaint is appropriate to refer for investigation</w:t>
      </w:r>
      <w:r w:rsidR="00497C7D">
        <w:rPr>
          <w:rFonts w:ascii="Arial" w:eastAsia="Times New Roman" w:hAnsi="Arial" w:cs="Times New Roman"/>
          <w:sz w:val="24"/>
          <w:szCs w:val="24"/>
          <w:lang w:eastAsia="en-GB"/>
        </w:rPr>
        <w:t>, informal action or no action</w:t>
      </w:r>
      <w:r w:rsidR="00B3667C" w:rsidRPr="00B3667C">
        <w:rPr>
          <w:rFonts w:ascii="Arial" w:eastAsia="Times New Roman" w:hAnsi="Arial" w:cs="Times New Roman"/>
          <w:sz w:val="24"/>
          <w:szCs w:val="24"/>
          <w:lang w:eastAsia="en-GB"/>
        </w:rPr>
        <w:t>.</w:t>
      </w:r>
    </w:p>
    <w:p w:rsidR="00592111" w:rsidRDefault="00592111" w:rsidP="00B11F3D">
      <w:pPr>
        <w:spacing w:after="0" w:line="240" w:lineRule="auto"/>
        <w:rPr>
          <w:rFonts w:ascii="Arial" w:eastAsia="Times New Roman" w:hAnsi="Arial" w:cs="Times New Roman"/>
          <w:sz w:val="24"/>
          <w:szCs w:val="24"/>
          <w:lang w:eastAsia="en-GB"/>
        </w:rPr>
      </w:pPr>
    </w:p>
    <w:p w:rsidR="00592111" w:rsidRDefault="00592111" w:rsidP="000512B5">
      <w:pPr>
        <w:numPr>
          <w:ilvl w:val="0"/>
          <w:numId w:val="7"/>
        </w:numPr>
        <w:spacing w:after="0" w:line="240" w:lineRule="auto"/>
        <w:ind w:left="426" w:hanging="426"/>
        <w:rPr>
          <w:rFonts w:ascii="Arial" w:eastAsia="Times New Roman" w:hAnsi="Arial" w:cs="Times New Roman"/>
          <w:sz w:val="24"/>
          <w:szCs w:val="24"/>
          <w:lang w:eastAsia="en-GB"/>
        </w:rPr>
      </w:pPr>
      <w:r w:rsidRPr="00592111">
        <w:rPr>
          <w:rFonts w:ascii="Arial" w:eastAsia="Times New Roman" w:hAnsi="Arial" w:cs="Times New Roman"/>
          <w:sz w:val="24"/>
          <w:szCs w:val="24"/>
          <w:lang w:eastAsia="en-GB"/>
        </w:rPr>
        <w:lastRenderedPageBreak/>
        <w:t>The Monitoring Officer will not refer complaints for investigation where the complaint is not sufficiently serious to justify the cost of an investigation or it is not in the public interest to investigate.</w:t>
      </w:r>
    </w:p>
    <w:p w:rsidR="00755DAC" w:rsidRDefault="00755DAC" w:rsidP="00755DAC">
      <w:pPr>
        <w:spacing w:after="0" w:line="240" w:lineRule="auto"/>
        <w:rPr>
          <w:rFonts w:ascii="Arial" w:eastAsia="Times New Roman" w:hAnsi="Arial" w:cs="Times New Roman"/>
          <w:sz w:val="24"/>
          <w:szCs w:val="24"/>
          <w:lang w:eastAsia="en-GB"/>
        </w:rPr>
      </w:pPr>
    </w:p>
    <w:p w:rsidR="00755DAC" w:rsidRPr="00755DAC" w:rsidRDefault="00755DAC" w:rsidP="000512B5">
      <w:pPr>
        <w:numPr>
          <w:ilvl w:val="0"/>
          <w:numId w:val="7"/>
        </w:numPr>
        <w:ind w:left="426" w:hanging="426"/>
        <w:contextualSpacing/>
        <w:rPr>
          <w:rFonts w:ascii="Arial" w:eastAsia="Times New Roman" w:hAnsi="Arial" w:cs="Times New Roman"/>
          <w:sz w:val="24"/>
          <w:szCs w:val="24"/>
          <w:lang w:eastAsia="en-GB"/>
        </w:rPr>
      </w:pPr>
      <w:r w:rsidRPr="00755DAC">
        <w:rPr>
          <w:rFonts w:ascii="Arial" w:eastAsia="Times New Roman" w:hAnsi="Arial" w:cs="Times New Roman"/>
          <w:sz w:val="24"/>
          <w:szCs w:val="24"/>
          <w:lang w:eastAsia="en-GB"/>
        </w:rPr>
        <w:t xml:space="preserve">The Monitoring Officer is required to refer the following matters to the police </w:t>
      </w:r>
      <w:r w:rsidR="00F960BB">
        <w:rPr>
          <w:rFonts w:ascii="Arial" w:eastAsia="Times New Roman" w:hAnsi="Arial" w:cs="Times New Roman"/>
          <w:sz w:val="24"/>
          <w:szCs w:val="24"/>
          <w:lang w:eastAsia="en-GB"/>
        </w:rPr>
        <w:t>(</w:t>
      </w:r>
      <w:r w:rsidRPr="00755DAC">
        <w:rPr>
          <w:rFonts w:ascii="Arial" w:eastAsia="Times New Roman" w:hAnsi="Arial" w:cs="Times New Roman"/>
          <w:sz w:val="24"/>
          <w:szCs w:val="24"/>
          <w:lang w:eastAsia="en-GB"/>
        </w:rPr>
        <w:t>or other regulatory agency):</w:t>
      </w:r>
    </w:p>
    <w:p w:rsidR="00755DAC" w:rsidRPr="00755DAC" w:rsidRDefault="00755DAC" w:rsidP="00755DAC">
      <w:pPr>
        <w:numPr>
          <w:ilvl w:val="0"/>
          <w:numId w:val="24"/>
        </w:numPr>
        <w:spacing w:after="120" w:line="240" w:lineRule="auto"/>
        <w:ind w:left="1077" w:hanging="357"/>
        <w:rPr>
          <w:rFonts w:ascii="Arial" w:eastAsia="Times New Roman" w:hAnsi="Arial" w:cs="Times New Roman"/>
          <w:sz w:val="24"/>
          <w:szCs w:val="24"/>
          <w:lang w:eastAsia="en-GB"/>
        </w:rPr>
      </w:pPr>
      <w:r w:rsidRPr="00755DAC">
        <w:rPr>
          <w:rFonts w:ascii="Arial" w:eastAsia="Times New Roman" w:hAnsi="Arial" w:cs="Times New Roman"/>
          <w:sz w:val="24"/>
          <w:szCs w:val="24"/>
          <w:lang w:eastAsia="en-GB"/>
        </w:rPr>
        <w:t>a failure to register interests in accordance with the provisions of the Localism Act 2011 and The Relevant Authorities (Disclosable Pecuniary Interests) Regulations 2012</w:t>
      </w:r>
    </w:p>
    <w:p w:rsidR="00755DAC" w:rsidRPr="00755DAC" w:rsidRDefault="00755DAC" w:rsidP="00755DAC">
      <w:pPr>
        <w:numPr>
          <w:ilvl w:val="0"/>
          <w:numId w:val="24"/>
        </w:numPr>
        <w:spacing w:after="120" w:line="240" w:lineRule="auto"/>
        <w:ind w:left="1077" w:hanging="357"/>
        <w:rPr>
          <w:rFonts w:ascii="Arial" w:eastAsia="Times New Roman" w:hAnsi="Arial" w:cs="Times New Roman"/>
          <w:sz w:val="24"/>
          <w:szCs w:val="24"/>
          <w:lang w:eastAsia="en-GB"/>
        </w:rPr>
      </w:pPr>
      <w:r w:rsidRPr="00755DAC">
        <w:rPr>
          <w:rFonts w:ascii="Arial" w:eastAsia="Times New Roman" w:hAnsi="Arial" w:cs="Times New Roman"/>
          <w:sz w:val="24"/>
          <w:szCs w:val="24"/>
          <w:lang w:eastAsia="en-GB"/>
        </w:rPr>
        <w:t>any complaint concerning a criminal offence</w:t>
      </w:r>
    </w:p>
    <w:p w:rsidR="00755DAC" w:rsidRPr="00755DAC" w:rsidRDefault="00755DAC" w:rsidP="000512B5">
      <w:pPr>
        <w:spacing w:before="120" w:after="0" w:line="240" w:lineRule="auto"/>
        <w:ind w:left="426"/>
        <w:rPr>
          <w:rFonts w:ascii="Arial" w:eastAsia="Times New Roman" w:hAnsi="Arial" w:cs="Times New Roman"/>
          <w:sz w:val="24"/>
          <w:szCs w:val="24"/>
          <w:lang w:eastAsia="en-GB"/>
        </w:rPr>
      </w:pPr>
      <w:r w:rsidRPr="00755DAC">
        <w:rPr>
          <w:rFonts w:ascii="Arial" w:eastAsia="Times New Roman" w:hAnsi="Arial" w:cs="Times New Roman"/>
          <w:sz w:val="24"/>
          <w:szCs w:val="24"/>
          <w:lang w:eastAsia="en-GB"/>
        </w:rPr>
        <w:t xml:space="preserve">All referrals to the police or other regulatory agency will take place at the outset of the process and before the initial tests or assessment stage.  No further action will be taken in relation to such complaints until any related criminal/regulatory investigation, proceedings or processes have been concluded. </w:t>
      </w:r>
    </w:p>
    <w:p w:rsidR="00755DAC" w:rsidRPr="00B3667C" w:rsidRDefault="00755DAC" w:rsidP="00755DAC">
      <w:pPr>
        <w:spacing w:after="0" w:line="240" w:lineRule="auto"/>
        <w:rPr>
          <w:rFonts w:ascii="Arial" w:eastAsia="Times New Roman" w:hAnsi="Arial" w:cs="Times New Roman"/>
          <w:sz w:val="24"/>
          <w:szCs w:val="24"/>
          <w:lang w:eastAsia="en-GB"/>
        </w:rPr>
      </w:pPr>
    </w:p>
    <w:p w:rsidR="008334F7" w:rsidRPr="008565DD" w:rsidRDefault="008334F7" w:rsidP="0029202A">
      <w:pPr>
        <w:spacing w:after="120" w:line="240" w:lineRule="auto"/>
        <w:ind w:left="567" w:hanging="567"/>
        <w:rPr>
          <w:rFonts w:ascii="Arial" w:eastAsia="Times New Roman" w:hAnsi="Arial" w:cs="Times New Roman"/>
          <w:b/>
          <w:sz w:val="24"/>
          <w:szCs w:val="24"/>
          <w:lang w:eastAsia="en-GB"/>
        </w:rPr>
      </w:pPr>
      <w:r w:rsidRPr="008565DD">
        <w:rPr>
          <w:rFonts w:ascii="Arial" w:eastAsia="Times New Roman" w:hAnsi="Arial" w:cs="Times New Roman"/>
          <w:b/>
          <w:sz w:val="24"/>
          <w:szCs w:val="24"/>
          <w:lang w:eastAsia="en-GB"/>
        </w:rPr>
        <w:t>Legal implications</w:t>
      </w:r>
    </w:p>
    <w:p w:rsidR="00BD49C4" w:rsidRDefault="00BD49C4" w:rsidP="000512B5">
      <w:pPr>
        <w:pStyle w:val="ListParagraph"/>
        <w:numPr>
          <w:ilvl w:val="0"/>
          <w:numId w:val="7"/>
        </w:numPr>
        <w:spacing w:after="0" w:line="240" w:lineRule="auto"/>
        <w:ind w:left="426" w:hanging="426"/>
        <w:contextualSpacing w:val="0"/>
        <w:rPr>
          <w:rFonts w:ascii="Arial" w:eastAsia="Times New Roman" w:hAnsi="Arial" w:cs="Times New Roman"/>
          <w:sz w:val="24"/>
          <w:szCs w:val="24"/>
          <w:lang w:eastAsia="en-GB"/>
        </w:rPr>
      </w:pPr>
      <w:r w:rsidRPr="00BD49C4">
        <w:rPr>
          <w:rFonts w:ascii="Arial" w:eastAsia="Times New Roman" w:hAnsi="Arial" w:cs="Times New Roman"/>
          <w:sz w:val="24"/>
          <w:szCs w:val="24"/>
          <w:lang w:eastAsia="en-GB"/>
        </w:rPr>
        <w:t xml:space="preserve">There is a legal requirement </w:t>
      </w:r>
      <w:r w:rsidR="00B769AA">
        <w:rPr>
          <w:rFonts w:ascii="Arial" w:eastAsia="Times New Roman" w:hAnsi="Arial" w:cs="Times New Roman"/>
          <w:sz w:val="24"/>
          <w:szCs w:val="24"/>
          <w:lang w:eastAsia="en-GB"/>
        </w:rPr>
        <w:t>u</w:t>
      </w:r>
      <w:r w:rsidR="00B769AA" w:rsidRPr="00B769AA">
        <w:rPr>
          <w:rFonts w:ascii="Arial" w:eastAsia="Times New Roman" w:hAnsi="Arial" w:cs="Times New Roman"/>
          <w:sz w:val="24"/>
          <w:szCs w:val="24"/>
          <w:lang w:eastAsia="en-GB"/>
        </w:rPr>
        <w:t xml:space="preserve">nder Section 28(6) and (7) of the Localism Act 2011, </w:t>
      </w:r>
      <w:r w:rsidR="00B769AA">
        <w:rPr>
          <w:rFonts w:ascii="Arial" w:eastAsia="Times New Roman" w:hAnsi="Arial" w:cs="Times New Roman"/>
          <w:sz w:val="24"/>
          <w:szCs w:val="24"/>
          <w:lang w:eastAsia="en-GB"/>
        </w:rPr>
        <w:t xml:space="preserve">for </w:t>
      </w:r>
      <w:r w:rsidR="00B769AA" w:rsidRPr="00B769AA">
        <w:rPr>
          <w:rFonts w:ascii="Arial" w:eastAsia="Times New Roman" w:hAnsi="Arial" w:cs="Times New Roman"/>
          <w:sz w:val="24"/>
          <w:szCs w:val="24"/>
          <w:lang w:eastAsia="en-GB"/>
        </w:rPr>
        <w:t xml:space="preserve">the Council </w:t>
      </w:r>
      <w:r w:rsidR="00B769AA">
        <w:rPr>
          <w:rFonts w:ascii="Arial" w:eastAsia="Times New Roman" w:hAnsi="Arial" w:cs="Times New Roman"/>
          <w:sz w:val="24"/>
          <w:szCs w:val="24"/>
          <w:lang w:eastAsia="en-GB"/>
        </w:rPr>
        <w:t>to</w:t>
      </w:r>
      <w:r w:rsidR="00B769AA" w:rsidRPr="00B769AA">
        <w:rPr>
          <w:rFonts w:ascii="Arial" w:eastAsia="Times New Roman" w:hAnsi="Arial" w:cs="Times New Roman"/>
          <w:sz w:val="24"/>
          <w:szCs w:val="24"/>
          <w:lang w:eastAsia="en-GB"/>
        </w:rPr>
        <w:t xml:space="preserve"> have in place “arrangements” under which allegations that a member or co-opted member of the authority or of a parish council within the authority’s area or of a Committee or Sub-Committee of the authority, has failed to comply with that authority’s Code of Conduct can be investigated and decisions made on such allegations.</w:t>
      </w:r>
    </w:p>
    <w:p w:rsidR="00497C7D" w:rsidRPr="00497C7D" w:rsidRDefault="00497C7D" w:rsidP="00497C7D">
      <w:pPr>
        <w:spacing w:after="0" w:line="240" w:lineRule="auto"/>
        <w:rPr>
          <w:rFonts w:ascii="Arial" w:eastAsia="Times New Roman" w:hAnsi="Arial" w:cs="Times New Roman"/>
          <w:sz w:val="24"/>
          <w:szCs w:val="24"/>
          <w:lang w:eastAsia="en-GB"/>
        </w:rPr>
      </w:pPr>
    </w:p>
    <w:p w:rsidR="008334F7" w:rsidRDefault="008334F7" w:rsidP="000512B5">
      <w:pPr>
        <w:numPr>
          <w:ilvl w:val="0"/>
          <w:numId w:val="7"/>
        </w:numPr>
        <w:spacing w:after="0" w:line="240" w:lineRule="auto"/>
        <w:ind w:left="426" w:hanging="426"/>
        <w:rPr>
          <w:rFonts w:ascii="Arial" w:eastAsia="Times New Roman" w:hAnsi="Arial" w:cs="Times New Roman"/>
          <w:sz w:val="24"/>
          <w:szCs w:val="24"/>
          <w:lang w:eastAsia="en-GB"/>
        </w:rPr>
      </w:pPr>
      <w:r w:rsidRPr="008565DD">
        <w:rPr>
          <w:rFonts w:ascii="Arial" w:eastAsia="Times New Roman" w:hAnsi="Arial" w:cs="Times New Roman"/>
          <w:sz w:val="24"/>
          <w:szCs w:val="24"/>
          <w:lang w:eastAsia="en-GB"/>
        </w:rPr>
        <w:t xml:space="preserve">The </w:t>
      </w:r>
      <w:r w:rsidR="009438E3">
        <w:rPr>
          <w:rFonts w:ascii="Arial" w:eastAsia="Times New Roman" w:hAnsi="Arial" w:cs="Times New Roman"/>
          <w:sz w:val="24"/>
          <w:szCs w:val="24"/>
          <w:lang w:eastAsia="en-GB"/>
        </w:rPr>
        <w:t>changes to existing arrangements detailed in this report</w:t>
      </w:r>
      <w:r w:rsidRPr="008565DD">
        <w:rPr>
          <w:rFonts w:ascii="Arial" w:eastAsia="Times New Roman" w:hAnsi="Arial" w:cs="Times New Roman"/>
          <w:sz w:val="24"/>
          <w:szCs w:val="24"/>
          <w:lang w:eastAsia="en-GB"/>
        </w:rPr>
        <w:t xml:space="preserve"> will introduce </w:t>
      </w:r>
      <w:r w:rsidR="009438E3">
        <w:rPr>
          <w:rFonts w:ascii="Arial" w:eastAsia="Times New Roman" w:hAnsi="Arial" w:cs="Times New Roman"/>
          <w:sz w:val="24"/>
          <w:szCs w:val="24"/>
          <w:lang w:eastAsia="en-GB"/>
        </w:rPr>
        <w:t xml:space="preserve">further </w:t>
      </w:r>
      <w:r w:rsidRPr="008565DD">
        <w:rPr>
          <w:rFonts w:ascii="Arial" w:eastAsia="Times New Roman" w:hAnsi="Arial" w:cs="Times New Roman"/>
          <w:sz w:val="24"/>
          <w:szCs w:val="24"/>
          <w:lang w:eastAsia="en-GB"/>
        </w:rPr>
        <w:t xml:space="preserve">consistency and rigour to the initial assessment stage of the Council’s </w:t>
      </w:r>
      <w:r w:rsidR="00BD49C4">
        <w:rPr>
          <w:rFonts w:ascii="Arial" w:eastAsia="Times New Roman" w:hAnsi="Arial" w:cs="Times New Roman"/>
          <w:sz w:val="24"/>
          <w:szCs w:val="24"/>
          <w:lang w:eastAsia="en-GB"/>
        </w:rPr>
        <w:t>c</w:t>
      </w:r>
      <w:r w:rsidRPr="008565DD">
        <w:rPr>
          <w:rFonts w:ascii="Arial" w:eastAsia="Times New Roman" w:hAnsi="Arial" w:cs="Times New Roman"/>
          <w:sz w:val="24"/>
          <w:szCs w:val="24"/>
          <w:lang w:eastAsia="en-GB"/>
        </w:rPr>
        <w:t xml:space="preserve">omplaints </w:t>
      </w:r>
      <w:r w:rsidR="00BD49C4">
        <w:rPr>
          <w:rFonts w:ascii="Arial" w:eastAsia="Times New Roman" w:hAnsi="Arial" w:cs="Times New Roman"/>
          <w:sz w:val="24"/>
          <w:szCs w:val="24"/>
          <w:lang w:eastAsia="en-GB"/>
        </w:rPr>
        <w:t>h</w:t>
      </w:r>
      <w:r w:rsidRPr="008565DD">
        <w:rPr>
          <w:rFonts w:ascii="Arial" w:eastAsia="Times New Roman" w:hAnsi="Arial" w:cs="Times New Roman"/>
          <w:sz w:val="24"/>
          <w:szCs w:val="24"/>
          <w:lang w:eastAsia="en-GB"/>
        </w:rPr>
        <w:t xml:space="preserve">andling </w:t>
      </w:r>
      <w:r w:rsidR="00BD49C4">
        <w:rPr>
          <w:rFonts w:ascii="Arial" w:eastAsia="Times New Roman" w:hAnsi="Arial" w:cs="Times New Roman"/>
          <w:sz w:val="24"/>
          <w:szCs w:val="24"/>
          <w:lang w:eastAsia="en-GB"/>
        </w:rPr>
        <w:t>a</w:t>
      </w:r>
      <w:r>
        <w:rPr>
          <w:rFonts w:ascii="Arial" w:eastAsia="Times New Roman" w:hAnsi="Arial" w:cs="Times New Roman"/>
          <w:sz w:val="24"/>
          <w:szCs w:val="24"/>
          <w:lang w:eastAsia="en-GB"/>
        </w:rPr>
        <w:t>rrangements</w:t>
      </w:r>
      <w:r w:rsidRPr="008565DD">
        <w:rPr>
          <w:rFonts w:ascii="Arial" w:eastAsia="Times New Roman" w:hAnsi="Arial" w:cs="Times New Roman"/>
          <w:sz w:val="24"/>
          <w:szCs w:val="24"/>
          <w:lang w:eastAsia="en-GB"/>
        </w:rPr>
        <w:t>.</w:t>
      </w:r>
    </w:p>
    <w:p w:rsidR="008334F7" w:rsidRPr="008A14E8" w:rsidRDefault="008334F7" w:rsidP="0029202A">
      <w:pPr>
        <w:tabs>
          <w:tab w:val="left" w:pos="567"/>
        </w:tabs>
        <w:spacing w:after="0" w:line="240" w:lineRule="auto"/>
        <w:ind w:left="567" w:hanging="567"/>
        <w:rPr>
          <w:rFonts w:ascii="Arial" w:eastAsia="Times New Roman" w:hAnsi="Arial" w:cs="Times New Roman"/>
          <w:color w:val="FF0000"/>
          <w:sz w:val="24"/>
          <w:szCs w:val="24"/>
          <w:lang w:eastAsia="en-GB"/>
        </w:rPr>
      </w:pPr>
    </w:p>
    <w:p w:rsidR="008334F7" w:rsidRPr="008A14E8" w:rsidRDefault="008334F7" w:rsidP="0029202A">
      <w:pPr>
        <w:tabs>
          <w:tab w:val="left" w:pos="567"/>
        </w:tabs>
        <w:spacing w:after="120" w:line="240" w:lineRule="auto"/>
        <w:ind w:left="567" w:hanging="567"/>
        <w:rPr>
          <w:rFonts w:ascii="Arial" w:eastAsia="Times New Roman" w:hAnsi="Arial" w:cs="Times New Roman"/>
          <w:b/>
          <w:sz w:val="24"/>
          <w:szCs w:val="24"/>
          <w:lang w:eastAsia="en-GB"/>
        </w:rPr>
      </w:pPr>
      <w:r w:rsidRPr="008A14E8">
        <w:rPr>
          <w:rFonts w:ascii="Arial" w:eastAsia="Times New Roman" w:hAnsi="Arial" w:cs="Times New Roman"/>
          <w:b/>
          <w:sz w:val="24"/>
          <w:szCs w:val="24"/>
          <w:lang w:eastAsia="en-GB"/>
        </w:rPr>
        <w:t>Financial implications</w:t>
      </w:r>
    </w:p>
    <w:p w:rsidR="008334F7" w:rsidRPr="008A14E8" w:rsidRDefault="008334F7" w:rsidP="000512B5">
      <w:pPr>
        <w:numPr>
          <w:ilvl w:val="0"/>
          <w:numId w:val="7"/>
        </w:numPr>
        <w:spacing w:after="0" w:line="240" w:lineRule="auto"/>
        <w:ind w:left="426" w:hanging="426"/>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There are no financial implications arising directly from the </w:t>
      </w:r>
      <w:r w:rsidR="00BD49C4">
        <w:rPr>
          <w:rFonts w:ascii="Arial" w:eastAsia="Times New Roman" w:hAnsi="Arial" w:cs="Times New Roman"/>
          <w:sz w:val="24"/>
          <w:szCs w:val="24"/>
          <w:lang w:eastAsia="en-GB"/>
        </w:rPr>
        <w:t xml:space="preserve">changes to existing arrangements detailed </w:t>
      </w:r>
      <w:r>
        <w:rPr>
          <w:rFonts w:ascii="Arial" w:eastAsia="Times New Roman" w:hAnsi="Arial" w:cs="Times New Roman"/>
          <w:sz w:val="24"/>
          <w:szCs w:val="24"/>
          <w:lang w:eastAsia="en-GB"/>
        </w:rPr>
        <w:t>in this report.</w:t>
      </w:r>
      <w:r w:rsidR="00BD49C4">
        <w:rPr>
          <w:rFonts w:ascii="Arial" w:eastAsia="Times New Roman" w:hAnsi="Arial" w:cs="Times New Roman"/>
          <w:sz w:val="24"/>
          <w:szCs w:val="24"/>
          <w:lang w:eastAsia="en-GB"/>
        </w:rPr>
        <w:t xml:space="preserve">  </w:t>
      </w:r>
      <w:r w:rsidR="00BD49C4" w:rsidRPr="00592111">
        <w:rPr>
          <w:rFonts w:ascii="Arial" w:eastAsia="Times New Roman" w:hAnsi="Arial" w:cs="Times New Roman"/>
          <w:sz w:val="24"/>
          <w:szCs w:val="24"/>
          <w:lang w:eastAsia="en-GB"/>
        </w:rPr>
        <w:t xml:space="preserve">The Monitoring Officer must be mindful of the public money which may be incurred in arranging a formal investigation of a complaint. Investigations are costly and time consuming and in some circumstances, complaints may be more effectively dealt with by informal resolution or other action. </w:t>
      </w:r>
      <w:r w:rsidR="00BD49C4">
        <w:rPr>
          <w:rFonts w:ascii="Arial" w:eastAsia="Times New Roman" w:hAnsi="Arial" w:cs="Times New Roman"/>
          <w:sz w:val="24"/>
          <w:szCs w:val="24"/>
          <w:lang w:eastAsia="en-GB"/>
        </w:rPr>
        <w:t xml:space="preserve"> </w:t>
      </w:r>
    </w:p>
    <w:p w:rsidR="008334F7" w:rsidRPr="008A14E8" w:rsidRDefault="008334F7" w:rsidP="0029202A">
      <w:pPr>
        <w:tabs>
          <w:tab w:val="left" w:pos="567"/>
        </w:tabs>
        <w:spacing w:after="0" w:line="240" w:lineRule="auto"/>
        <w:ind w:left="567" w:hanging="567"/>
        <w:rPr>
          <w:rFonts w:ascii="Arial" w:eastAsia="Times New Roman" w:hAnsi="Arial" w:cs="Times New Roman"/>
          <w:sz w:val="24"/>
          <w:szCs w:val="24"/>
          <w:lang w:eastAsia="en-GB"/>
        </w:rPr>
      </w:pPr>
    </w:p>
    <w:p w:rsidR="008334F7" w:rsidRPr="008A14E8" w:rsidRDefault="008334F7" w:rsidP="0029202A">
      <w:pPr>
        <w:tabs>
          <w:tab w:val="left" w:pos="567"/>
        </w:tabs>
        <w:spacing w:after="120" w:line="240" w:lineRule="auto"/>
        <w:ind w:left="567" w:hanging="567"/>
        <w:rPr>
          <w:rFonts w:ascii="Arial" w:eastAsia="Times New Roman" w:hAnsi="Arial" w:cs="Times New Roman"/>
          <w:b/>
          <w:sz w:val="24"/>
          <w:szCs w:val="24"/>
          <w:lang w:eastAsia="en-GB"/>
        </w:rPr>
      </w:pPr>
      <w:r w:rsidRPr="008A14E8">
        <w:rPr>
          <w:rFonts w:ascii="Arial" w:eastAsia="Times New Roman" w:hAnsi="Arial" w:cs="Times New Roman"/>
          <w:b/>
          <w:sz w:val="24"/>
          <w:szCs w:val="24"/>
          <w:lang w:eastAsia="en-GB"/>
        </w:rPr>
        <w:t>Risk management</w:t>
      </w:r>
    </w:p>
    <w:p w:rsidR="008334F7" w:rsidRDefault="008334F7" w:rsidP="000512B5">
      <w:pPr>
        <w:numPr>
          <w:ilvl w:val="0"/>
          <w:numId w:val="7"/>
        </w:numPr>
        <w:spacing w:after="0" w:line="240" w:lineRule="auto"/>
        <w:ind w:left="426" w:hanging="426"/>
        <w:rPr>
          <w:rFonts w:ascii="Arial" w:eastAsia="Times New Roman" w:hAnsi="Arial" w:cs="Times New Roman"/>
          <w:sz w:val="24"/>
          <w:szCs w:val="24"/>
          <w:lang w:eastAsia="en-GB"/>
        </w:rPr>
      </w:pPr>
      <w:r w:rsidRPr="0095312B">
        <w:rPr>
          <w:rFonts w:ascii="Arial" w:eastAsia="Times New Roman" w:hAnsi="Arial" w:cs="Times New Roman"/>
          <w:sz w:val="24"/>
          <w:szCs w:val="24"/>
          <w:lang w:eastAsia="en-GB"/>
        </w:rPr>
        <w:t xml:space="preserve">Introducing the recommended assessment criteria would mean that the Monitoring Officer and Independent Persons would have a clear and objective framework against which to make an initial assessment and determine the validity of the complaint. </w:t>
      </w:r>
    </w:p>
    <w:p w:rsidR="00497C7D" w:rsidRDefault="00497C7D" w:rsidP="00497C7D">
      <w:pPr>
        <w:spacing w:after="0" w:line="240" w:lineRule="auto"/>
        <w:rPr>
          <w:rFonts w:ascii="Arial" w:eastAsia="Times New Roman" w:hAnsi="Arial" w:cs="Times New Roman"/>
          <w:sz w:val="24"/>
          <w:szCs w:val="24"/>
          <w:lang w:eastAsia="en-GB"/>
        </w:rPr>
      </w:pPr>
    </w:p>
    <w:p w:rsidR="00497C7D" w:rsidRPr="003D449C" w:rsidRDefault="00497C7D" w:rsidP="00497C7D">
      <w:pPr>
        <w:spacing w:after="0" w:line="240" w:lineRule="auto"/>
        <w:rPr>
          <w:rFonts w:ascii="Arial" w:eastAsia="Times New Roman" w:hAnsi="Arial" w:cs="Times New Roman"/>
          <w:b/>
          <w:sz w:val="24"/>
          <w:szCs w:val="24"/>
          <w:lang w:eastAsia="en-GB"/>
        </w:rPr>
      </w:pPr>
      <w:r w:rsidRPr="003D449C">
        <w:rPr>
          <w:rFonts w:ascii="Arial" w:eastAsia="Times New Roman" w:hAnsi="Arial" w:cs="Times New Roman"/>
          <w:b/>
          <w:sz w:val="24"/>
          <w:szCs w:val="24"/>
          <w:lang w:eastAsia="en-GB"/>
        </w:rPr>
        <w:t xml:space="preserve">Equalities </w:t>
      </w:r>
    </w:p>
    <w:p w:rsidR="00497C7D" w:rsidRPr="003D449C" w:rsidRDefault="00497C7D" w:rsidP="000512B5">
      <w:pPr>
        <w:numPr>
          <w:ilvl w:val="0"/>
          <w:numId w:val="7"/>
        </w:numPr>
        <w:spacing w:before="120" w:after="0" w:line="240" w:lineRule="auto"/>
        <w:ind w:left="426" w:hanging="426"/>
        <w:rPr>
          <w:rFonts w:ascii="Arial" w:eastAsia="Times New Roman" w:hAnsi="Arial" w:cs="Times New Roman"/>
          <w:sz w:val="24"/>
          <w:szCs w:val="24"/>
          <w:lang w:eastAsia="en-GB"/>
        </w:rPr>
      </w:pPr>
      <w:r w:rsidRPr="003D449C">
        <w:rPr>
          <w:rFonts w:ascii="Arial" w:eastAsia="Times New Roman" w:hAnsi="Arial" w:cs="Times New Roman"/>
          <w:sz w:val="24"/>
          <w:szCs w:val="24"/>
          <w:lang w:eastAsia="en-GB"/>
        </w:rPr>
        <w:t>The proposals detailed in this report and the supporting documentation</w:t>
      </w:r>
      <w:r w:rsidR="00E230CB" w:rsidRPr="003D449C">
        <w:rPr>
          <w:rFonts w:ascii="Arial" w:eastAsia="Times New Roman" w:hAnsi="Arial" w:cs="Times New Roman"/>
          <w:sz w:val="24"/>
          <w:szCs w:val="24"/>
          <w:lang w:eastAsia="en-GB"/>
        </w:rPr>
        <w:t xml:space="preserve"> </w:t>
      </w:r>
      <w:r w:rsidR="00546848" w:rsidRPr="003D449C">
        <w:rPr>
          <w:rFonts w:ascii="Arial" w:eastAsia="Times New Roman" w:hAnsi="Arial" w:cs="Times New Roman"/>
          <w:sz w:val="24"/>
          <w:szCs w:val="24"/>
          <w:lang w:eastAsia="en-GB"/>
        </w:rPr>
        <w:t xml:space="preserve">provide a framework for a fair and consistent approach to handling complaints against councillors. Where appropriate </w:t>
      </w:r>
      <w:r w:rsidR="003D449C" w:rsidRPr="003D449C">
        <w:rPr>
          <w:rFonts w:ascii="Arial" w:eastAsia="Times New Roman" w:hAnsi="Arial" w:cs="Times New Roman"/>
          <w:sz w:val="24"/>
          <w:szCs w:val="24"/>
          <w:lang w:eastAsia="en-GB"/>
        </w:rPr>
        <w:t xml:space="preserve">practical adjustments to the </w:t>
      </w:r>
      <w:r w:rsidR="00546848" w:rsidRPr="003D449C">
        <w:rPr>
          <w:rFonts w:ascii="Arial" w:eastAsia="Times New Roman" w:hAnsi="Arial" w:cs="Times New Roman"/>
          <w:sz w:val="24"/>
          <w:szCs w:val="24"/>
          <w:lang w:eastAsia="en-GB"/>
        </w:rPr>
        <w:t xml:space="preserve">arrangements may be </w:t>
      </w:r>
      <w:r w:rsidR="003D449C" w:rsidRPr="003D449C">
        <w:rPr>
          <w:rFonts w:ascii="Arial" w:eastAsia="Times New Roman" w:hAnsi="Arial" w:cs="Times New Roman"/>
          <w:sz w:val="24"/>
          <w:szCs w:val="24"/>
          <w:lang w:eastAsia="en-GB"/>
        </w:rPr>
        <w:t>made to accommodate specific requirements.</w:t>
      </w:r>
    </w:p>
    <w:p w:rsidR="00497C7D" w:rsidRDefault="00497C7D" w:rsidP="008334F7">
      <w:pPr>
        <w:tabs>
          <w:tab w:val="left" w:pos="426"/>
        </w:tabs>
        <w:spacing w:after="0" w:line="240" w:lineRule="auto"/>
        <w:rPr>
          <w:rFonts w:ascii="Arial" w:eastAsia="Times New Roman" w:hAnsi="Arial" w:cs="Times New Roman"/>
          <w:color w:val="FF0000"/>
          <w:sz w:val="24"/>
          <w:szCs w:val="24"/>
          <w:lang w:eastAsia="en-GB"/>
        </w:rPr>
      </w:pPr>
    </w:p>
    <w:p w:rsidR="008A14E8" w:rsidRPr="008A14E8" w:rsidRDefault="008A14E8" w:rsidP="008A14E8">
      <w:pPr>
        <w:spacing w:after="120" w:line="240" w:lineRule="auto"/>
        <w:rPr>
          <w:rFonts w:ascii="Arial" w:eastAsia="Times New Roman" w:hAnsi="Arial" w:cs="Times New Roman"/>
          <w:color w:val="000000"/>
          <w:sz w:val="24"/>
          <w:szCs w:val="24"/>
          <w:lang w:eastAsia="en-GB"/>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8A14E8" w:rsidRPr="008A14E8" w:rsidTr="00510224">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8A14E8" w:rsidRPr="008A14E8" w:rsidRDefault="008A14E8" w:rsidP="008A14E8">
            <w:pPr>
              <w:spacing w:after="120" w:line="240" w:lineRule="auto"/>
              <w:rPr>
                <w:rFonts w:ascii="Arial" w:eastAsia="Times New Roman" w:hAnsi="Arial" w:cs="Times New Roman"/>
                <w:b/>
                <w:color w:val="000000"/>
                <w:sz w:val="24"/>
                <w:szCs w:val="24"/>
                <w:lang w:eastAsia="en-GB"/>
              </w:rPr>
            </w:pPr>
            <w:r w:rsidRPr="008A14E8">
              <w:rPr>
                <w:rFonts w:ascii="Arial" w:eastAsia="Times New Roman" w:hAnsi="Arial" w:cs="Times New Roman"/>
                <w:b/>
                <w:color w:val="000000"/>
                <w:sz w:val="24"/>
                <w:szCs w:val="24"/>
                <w:lang w:eastAsia="en-G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8A14E8" w:rsidRPr="008A14E8" w:rsidRDefault="008A14E8" w:rsidP="008A14E8">
            <w:pPr>
              <w:spacing w:after="120" w:line="240" w:lineRule="auto"/>
              <w:rPr>
                <w:rFonts w:ascii="Arial" w:eastAsia="Times New Roman" w:hAnsi="Arial" w:cs="Times New Roman"/>
                <w:color w:val="000000"/>
                <w:sz w:val="24"/>
                <w:szCs w:val="24"/>
                <w:lang w:eastAsia="en-GB"/>
              </w:rPr>
            </w:pPr>
            <w:r w:rsidRPr="008A14E8">
              <w:rPr>
                <w:rFonts w:ascii="Arial" w:eastAsia="Times New Roman" w:hAnsi="Arial" w:cs="Times New Roman"/>
                <w:color w:val="000000"/>
                <w:sz w:val="24"/>
                <w:szCs w:val="24"/>
                <w:lang w:eastAsia="en-GB"/>
              </w:rPr>
              <w:t>Catherine Phythian</w:t>
            </w:r>
          </w:p>
        </w:tc>
      </w:tr>
      <w:tr w:rsidR="008A14E8" w:rsidRPr="008A14E8" w:rsidTr="00510224">
        <w:trPr>
          <w:cantSplit/>
          <w:trHeight w:val="396"/>
        </w:trPr>
        <w:tc>
          <w:tcPr>
            <w:tcW w:w="3969" w:type="dxa"/>
            <w:tcBorders>
              <w:top w:val="single" w:sz="8" w:space="0" w:color="000000"/>
              <w:left w:val="single" w:sz="8" w:space="0" w:color="000000"/>
              <w:bottom w:val="nil"/>
              <w:right w:val="nil"/>
            </w:tcBorders>
            <w:shd w:val="clear" w:color="auto" w:fill="auto"/>
          </w:tcPr>
          <w:p w:rsidR="008A14E8" w:rsidRPr="008A14E8" w:rsidRDefault="008A14E8" w:rsidP="008A14E8">
            <w:pPr>
              <w:spacing w:after="120" w:line="240" w:lineRule="auto"/>
              <w:rPr>
                <w:rFonts w:ascii="Arial" w:eastAsia="Times New Roman" w:hAnsi="Arial" w:cs="Times New Roman"/>
                <w:color w:val="000000"/>
                <w:sz w:val="24"/>
                <w:szCs w:val="24"/>
                <w:lang w:eastAsia="en-GB"/>
              </w:rPr>
            </w:pPr>
            <w:r w:rsidRPr="008A14E8">
              <w:rPr>
                <w:rFonts w:ascii="Arial" w:eastAsia="Times New Roman" w:hAnsi="Arial" w:cs="Times New Roman"/>
                <w:color w:val="000000"/>
                <w:sz w:val="24"/>
                <w:szCs w:val="24"/>
                <w:lang w:eastAsia="en-GB"/>
              </w:rPr>
              <w:t>Job title</w:t>
            </w:r>
          </w:p>
        </w:tc>
        <w:tc>
          <w:tcPr>
            <w:tcW w:w="4962" w:type="dxa"/>
            <w:tcBorders>
              <w:top w:val="single" w:sz="8" w:space="0" w:color="000000"/>
              <w:left w:val="nil"/>
              <w:bottom w:val="nil"/>
              <w:right w:val="single" w:sz="8" w:space="0" w:color="000000"/>
            </w:tcBorders>
            <w:shd w:val="clear" w:color="auto" w:fill="auto"/>
          </w:tcPr>
          <w:p w:rsidR="008A14E8" w:rsidRPr="008A14E8" w:rsidRDefault="008A14E8" w:rsidP="008A14E8">
            <w:pPr>
              <w:spacing w:after="120" w:line="240" w:lineRule="auto"/>
              <w:rPr>
                <w:rFonts w:ascii="Arial" w:eastAsia="Times New Roman" w:hAnsi="Arial" w:cs="Times New Roman"/>
                <w:color w:val="000000"/>
                <w:sz w:val="24"/>
                <w:szCs w:val="24"/>
                <w:lang w:eastAsia="en-GB"/>
              </w:rPr>
            </w:pPr>
            <w:r w:rsidRPr="008A14E8">
              <w:rPr>
                <w:rFonts w:ascii="Arial" w:eastAsia="Times New Roman" w:hAnsi="Arial" w:cs="Times New Roman"/>
                <w:color w:val="000000"/>
                <w:sz w:val="24"/>
                <w:szCs w:val="24"/>
                <w:lang w:eastAsia="en-GB"/>
              </w:rPr>
              <w:t>Committee and Members Services Officer</w:t>
            </w:r>
          </w:p>
        </w:tc>
      </w:tr>
      <w:tr w:rsidR="008A14E8" w:rsidRPr="008A14E8" w:rsidTr="00510224">
        <w:trPr>
          <w:cantSplit/>
          <w:trHeight w:val="396"/>
        </w:trPr>
        <w:tc>
          <w:tcPr>
            <w:tcW w:w="3969" w:type="dxa"/>
            <w:tcBorders>
              <w:top w:val="nil"/>
              <w:left w:val="single" w:sz="8" w:space="0" w:color="000000"/>
              <w:bottom w:val="nil"/>
              <w:right w:val="nil"/>
            </w:tcBorders>
            <w:shd w:val="clear" w:color="auto" w:fill="auto"/>
          </w:tcPr>
          <w:p w:rsidR="008A14E8" w:rsidRPr="008A14E8" w:rsidRDefault="008A14E8" w:rsidP="008A14E8">
            <w:pPr>
              <w:spacing w:after="120" w:line="240" w:lineRule="auto"/>
              <w:rPr>
                <w:rFonts w:ascii="Arial" w:eastAsia="Times New Roman" w:hAnsi="Arial" w:cs="Times New Roman"/>
                <w:color w:val="000000"/>
                <w:sz w:val="24"/>
                <w:szCs w:val="24"/>
                <w:lang w:eastAsia="en-GB"/>
              </w:rPr>
            </w:pPr>
            <w:r w:rsidRPr="008A14E8">
              <w:rPr>
                <w:rFonts w:ascii="Arial" w:eastAsia="Times New Roman" w:hAnsi="Arial" w:cs="Times New Roman"/>
                <w:color w:val="000000"/>
                <w:sz w:val="24"/>
                <w:szCs w:val="24"/>
                <w:lang w:eastAsia="en-GB"/>
              </w:rPr>
              <w:t>Service area or department</w:t>
            </w:r>
          </w:p>
        </w:tc>
        <w:tc>
          <w:tcPr>
            <w:tcW w:w="4962" w:type="dxa"/>
            <w:tcBorders>
              <w:top w:val="nil"/>
              <w:left w:val="nil"/>
              <w:bottom w:val="nil"/>
              <w:right w:val="single" w:sz="8" w:space="0" w:color="000000"/>
            </w:tcBorders>
            <w:shd w:val="clear" w:color="auto" w:fill="auto"/>
          </w:tcPr>
          <w:p w:rsidR="008A14E8" w:rsidRPr="008A14E8" w:rsidRDefault="008A14E8" w:rsidP="008A14E8">
            <w:pPr>
              <w:spacing w:after="120" w:line="240" w:lineRule="auto"/>
              <w:rPr>
                <w:rFonts w:ascii="Arial" w:eastAsia="Times New Roman" w:hAnsi="Arial" w:cs="Times New Roman"/>
                <w:color w:val="000000"/>
                <w:sz w:val="24"/>
                <w:szCs w:val="24"/>
                <w:lang w:eastAsia="en-GB"/>
              </w:rPr>
            </w:pPr>
            <w:r w:rsidRPr="008A14E8">
              <w:rPr>
                <w:rFonts w:ascii="Arial" w:eastAsia="Times New Roman" w:hAnsi="Arial" w:cs="Times New Roman"/>
                <w:color w:val="000000"/>
                <w:sz w:val="24"/>
                <w:szCs w:val="24"/>
                <w:lang w:eastAsia="en-GB"/>
              </w:rPr>
              <w:t>Law and Governance</w:t>
            </w:r>
          </w:p>
        </w:tc>
      </w:tr>
      <w:tr w:rsidR="008A14E8" w:rsidRPr="008A14E8" w:rsidTr="00510224">
        <w:trPr>
          <w:cantSplit/>
          <w:trHeight w:val="396"/>
        </w:trPr>
        <w:tc>
          <w:tcPr>
            <w:tcW w:w="3969" w:type="dxa"/>
            <w:tcBorders>
              <w:top w:val="nil"/>
              <w:left w:val="single" w:sz="8" w:space="0" w:color="000000"/>
              <w:bottom w:val="nil"/>
              <w:right w:val="nil"/>
            </w:tcBorders>
            <w:shd w:val="clear" w:color="auto" w:fill="auto"/>
          </w:tcPr>
          <w:p w:rsidR="008A14E8" w:rsidRPr="008A14E8" w:rsidRDefault="008A14E8" w:rsidP="008A14E8">
            <w:pPr>
              <w:spacing w:after="120" w:line="240" w:lineRule="auto"/>
              <w:rPr>
                <w:rFonts w:ascii="Arial" w:eastAsia="Times New Roman" w:hAnsi="Arial" w:cs="Times New Roman"/>
                <w:color w:val="000000"/>
                <w:sz w:val="24"/>
                <w:szCs w:val="24"/>
                <w:lang w:eastAsia="en-GB"/>
              </w:rPr>
            </w:pPr>
            <w:r w:rsidRPr="008A14E8">
              <w:rPr>
                <w:rFonts w:ascii="Arial" w:eastAsia="Times New Roman" w:hAnsi="Arial" w:cs="Times New Roman"/>
                <w:color w:val="000000"/>
                <w:sz w:val="24"/>
                <w:szCs w:val="24"/>
                <w:lang w:eastAsia="en-GB"/>
              </w:rPr>
              <w:t xml:space="preserve">Telephone </w:t>
            </w:r>
          </w:p>
        </w:tc>
        <w:tc>
          <w:tcPr>
            <w:tcW w:w="4962" w:type="dxa"/>
            <w:tcBorders>
              <w:top w:val="nil"/>
              <w:left w:val="nil"/>
              <w:bottom w:val="nil"/>
              <w:right w:val="single" w:sz="8" w:space="0" w:color="000000"/>
            </w:tcBorders>
            <w:shd w:val="clear" w:color="auto" w:fill="auto"/>
          </w:tcPr>
          <w:p w:rsidR="008A14E8" w:rsidRPr="008A14E8" w:rsidRDefault="008A14E8" w:rsidP="008A14E8">
            <w:pPr>
              <w:spacing w:after="120" w:line="240" w:lineRule="auto"/>
              <w:rPr>
                <w:rFonts w:ascii="Arial" w:eastAsia="Times New Roman" w:hAnsi="Arial" w:cs="Times New Roman"/>
                <w:color w:val="000000"/>
                <w:sz w:val="24"/>
                <w:szCs w:val="24"/>
                <w:lang w:eastAsia="en-GB"/>
              </w:rPr>
            </w:pPr>
            <w:r w:rsidRPr="008A14E8">
              <w:rPr>
                <w:rFonts w:ascii="Arial" w:eastAsia="Times New Roman" w:hAnsi="Arial" w:cs="Times New Roman"/>
                <w:color w:val="000000"/>
                <w:sz w:val="24"/>
                <w:szCs w:val="24"/>
                <w:lang w:eastAsia="en-GB"/>
              </w:rPr>
              <w:t xml:space="preserve">01865 252402  </w:t>
            </w:r>
          </w:p>
        </w:tc>
      </w:tr>
      <w:tr w:rsidR="008A14E8" w:rsidRPr="008A14E8" w:rsidTr="00510224">
        <w:trPr>
          <w:cantSplit/>
          <w:trHeight w:val="396"/>
        </w:trPr>
        <w:tc>
          <w:tcPr>
            <w:tcW w:w="3969" w:type="dxa"/>
            <w:tcBorders>
              <w:top w:val="nil"/>
              <w:left w:val="single" w:sz="8" w:space="0" w:color="000000"/>
              <w:bottom w:val="single" w:sz="8" w:space="0" w:color="000000"/>
              <w:right w:val="nil"/>
            </w:tcBorders>
            <w:shd w:val="clear" w:color="auto" w:fill="auto"/>
          </w:tcPr>
          <w:p w:rsidR="008A14E8" w:rsidRPr="008A14E8" w:rsidRDefault="008A14E8" w:rsidP="008A14E8">
            <w:pPr>
              <w:spacing w:after="120" w:line="240" w:lineRule="auto"/>
              <w:rPr>
                <w:rFonts w:ascii="Arial" w:eastAsia="Times New Roman" w:hAnsi="Arial" w:cs="Times New Roman"/>
                <w:color w:val="000000"/>
                <w:sz w:val="24"/>
                <w:szCs w:val="24"/>
                <w:lang w:eastAsia="en-GB"/>
              </w:rPr>
            </w:pPr>
            <w:r w:rsidRPr="008A14E8">
              <w:rPr>
                <w:rFonts w:ascii="Arial" w:eastAsia="Times New Roman" w:hAnsi="Arial" w:cs="Times New Roman"/>
                <w:color w:val="000000"/>
                <w:sz w:val="24"/>
                <w:szCs w:val="24"/>
                <w:lang w:eastAsia="en-GB"/>
              </w:rPr>
              <w:t xml:space="preserve">e-mail </w:t>
            </w:r>
          </w:p>
        </w:tc>
        <w:tc>
          <w:tcPr>
            <w:tcW w:w="4962" w:type="dxa"/>
            <w:tcBorders>
              <w:top w:val="nil"/>
              <w:left w:val="nil"/>
              <w:bottom w:val="single" w:sz="8" w:space="0" w:color="000000"/>
              <w:right w:val="single" w:sz="8" w:space="0" w:color="000000"/>
            </w:tcBorders>
            <w:shd w:val="clear" w:color="auto" w:fill="auto"/>
          </w:tcPr>
          <w:p w:rsidR="008A14E8" w:rsidRPr="008A14E8" w:rsidRDefault="00724BB3" w:rsidP="008A14E8">
            <w:pPr>
              <w:spacing w:after="120" w:line="240" w:lineRule="auto"/>
              <w:rPr>
                <w:rFonts w:ascii="Arial" w:eastAsia="Times New Roman" w:hAnsi="Arial" w:cs="Times New Roman"/>
                <w:color w:val="000000"/>
                <w:sz w:val="24"/>
                <w:szCs w:val="24"/>
                <w:u w:val="single"/>
                <w:lang w:eastAsia="en-GB"/>
              </w:rPr>
            </w:pPr>
            <w:hyperlink r:id="rId10" w:history="1">
              <w:r w:rsidR="008A14E8" w:rsidRPr="008A14E8">
                <w:rPr>
                  <w:rFonts w:ascii="Arial" w:eastAsia="Times New Roman" w:hAnsi="Arial" w:cs="Times New Roman"/>
                  <w:color w:val="0000FF"/>
                  <w:sz w:val="24"/>
                  <w:szCs w:val="24"/>
                  <w:u w:val="single"/>
                  <w:lang w:eastAsia="en-GB"/>
                </w:rPr>
                <w:t>cphythian@oxford.gov.uk</w:t>
              </w:r>
            </w:hyperlink>
            <w:r w:rsidR="008A14E8" w:rsidRPr="008A14E8">
              <w:rPr>
                <w:rFonts w:ascii="Arial" w:eastAsia="Times New Roman" w:hAnsi="Arial" w:cs="Times New Roman"/>
                <w:color w:val="000000"/>
                <w:sz w:val="24"/>
                <w:szCs w:val="24"/>
                <w:u w:val="single"/>
                <w:lang w:eastAsia="en-GB"/>
              </w:rPr>
              <w:t xml:space="preserve"> </w:t>
            </w:r>
          </w:p>
        </w:tc>
      </w:tr>
    </w:tbl>
    <w:p w:rsidR="00C313BB" w:rsidRDefault="00C313BB"/>
    <w:sectPr w:rsidR="00C313BB" w:rsidSect="000512B5">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7AD" w:rsidRDefault="00E657AD" w:rsidP="00E657AD">
      <w:pPr>
        <w:spacing w:after="0" w:line="240" w:lineRule="auto"/>
      </w:pPr>
      <w:r>
        <w:separator/>
      </w:r>
    </w:p>
  </w:endnote>
  <w:endnote w:type="continuationSeparator" w:id="0">
    <w:p w:rsidR="00E657AD" w:rsidRDefault="00E657AD" w:rsidP="00E6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7AD" w:rsidRDefault="00E657AD" w:rsidP="00E657AD">
      <w:pPr>
        <w:spacing w:after="0" w:line="240" w:lineRule="auto"/>
      </w:pPr>
      <w:r>
        <w:separator/>
      </w:r>
    </w:p>
  </w:footnote>
  <w:footnote w:type="continuationSeparator" w:id="0">
    <w:p w:rsidR="00E657AD" w:rsidRDefault="00E657AD" w:rsidP="00E65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7AD" w:rsidRDefault="00E657AD" w:rsidP="00E657AD">
    <w:pPr>
      <w:pStyle w:val="Header"/>
      <w:jc w:val="right"/>
    </w:pPr>
  </w:p>
  <w:p w:rsidR="00144E90" w:rsidRDefault="00144E90" w:rsidP="00E657AD">
    <w:pPr>
      <w:pStyle w:val="Header"/>
      <w:jc w:val="right"/>
    </w:pPr>
  </w:p>
  <w:p w:rsidR="00144E90" w:rsidRDefault="00144E90" w:rsidP="00E657A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B5" w:rsidRDefault="000512B5" w:rsidP="000512B5">
    <w:pPr>
      <w:pStyle w:val="Header"/>
      <w:jc w:val="right"/>
    </w:pPr>
    <w:r>
      <w:rPr>
        <w:noProof/>
        <w:lang w:eastAsia="en-GB"/>
      </w:rPr>
      <w:drawing>
        <wp:inline distT="0" distB="0" distL="0" distR="0" wp14:anchorId="5B3A2614" wp14:editId="60D3B6EA">
          <wp:extent cx="841375" cy="11156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56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4E5"/>
    <w:multiLevelType w:val="hybridMultilevel"/>
    <w:tmpl w:val="FB86F6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73C4932"/>
    <w:multiLevelType w:val="hybridMultilevel"/>
    <w:tmpl w:val="AFDE5C5E"/>
    <w:lvl w:ilvl="0" w:tplc="08090001">
      <w:start w:val="1"/>
      <w:numFmt w:val="bullet"/>
      <w:lvlText w:val=""/>
      <w:lvlJc w:val="left"/>
      <w:pPr>
        <w:ind w:left="1287" w:hanging="360"/>
      </w:pPr>
      <w:rPr>
        <w:rFonts w:ascii="Symbol" w:hAnsi="Symbo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nsid w:val="09D31762"/>
    <w:multiLevelType w:val="hybridMultilevel"/>
    <w:tmpl w:val="50902384"/>
    <w:lvl w:ilvl="0" w:tplc="0E30AA02">
      <w:start w:val="1"/>
      <w:numFmt w:val="lowerLetter"/>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015501"/>
    <w:multiLevelType w:val="hybridMultilevel"/>
    <w:tmpl w:val="AEBE271C"/>
    <w:lvl w:ilvl="0" w:tplc="0809000F">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
    <w:nsid w:val="10AC47E8"/>
    <w:multiLevelType w:val="hybridMultilevel"/>
    <w:tmpl w:val="50902384"/>
    <w:lvl w:ilvl="0" w:tplc="0E30AA02">
      <w:start w:val="1"/>
      <w:numFmt w:val="lowerLetter"/>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543470"/>
    <w:multiLevelType w:val="hybridMultilevel"/>
    <w:tmpl w:val="DD5A5C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1125DC0"/>
    <w:multiLevelType w:val="hybridMultilevel"/>
    <w:tmpl w:val="CA0EE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1C254C3"/>
    <w:multiLevelType w:val="hybridMultilevel"/>
    <w:tmpl w:val="639A9C28"/>
    <w:lvl w:ilvl="0" w:tplc="08090017">
      <w:start w:val="1"/>
      <w:numFmt w:val="lowerLetter"/>
      <w:lvlText w:val="%1)"/>
      <w:lvlJc w:val="left"/>
      <w:pPr>
        <w:ind w:left="1080" w:hanging="360"/>
      </w:pPr>
      <w:rPr>
        <w:rFonts w:hint="default"/>
        <w:color w:val="auto"/>
      </w:rPr>
    </w:lvl>
    <w:lvl w:ilvl="1" w:tplc="0809000F">
      <w:start w:val="1"/>
      <w:numFmt w:val="decimal"/>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2C47466"/>
    <w:multiLevelType w:val="hybridMultilevel"/>
    <w:tmpl w:val="C4267E5A"/>
    <w:lvl w:ilvl="0" w:tplc="C4466A2E">
      <w:start w:val="3"/>
      <w:numFmt w:val="decimal"/>
      <w:lvlText w:val="%1."/>
      <w:lvlJc w:val="left"/>
      <w:pPr>
        <w:ind w:left="360" w:hanging="360"/>
      </w:pPr>
      <w:rPr>
        <w:rFonts w:hint="default"/>
        <w:color w:val="auto"/>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E716784"/>
    <w:multiLevelType w:val="hybridMultilevel"/>
    <w:tmpl w:val="B7CCB420"/>
    <w:lvl w:ilvl="0" w:tplc="C4466A2E">
      <w:start w:val="3"/>
      <w:numFmt w:val="decimal"/>
      <w:lvlText w:val="%1."/>
      <w:lvlJc w:val="left"/>
      <w:pPr>
        <w:ind w:left="360" w:hanging="360"/>
      </w:pPr>
      <w:rPr>
        <w:rFonts w:hint="default"/>
        <w:color w:val="auto"/>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2F10E83"/>
    <w:multiLevelType w:val="hybridMultilevel"/>
    <w:tmpl w:val="ECD8C0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3EF0755"/>
    <w:multiLevelType w:val="hybridMultilevel"/>
    <w:tmpl w:val="D5B2AAE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nsid w:val="359A2281"/>
    <w:multiLevelType w:val="hybridMultilevel"/>
    <w:tmpl w:val="D520D7AC"/>
    <w:lvl w:ilvl="0" w:tplc="08090001">
      <w:start w:val="1"/>
      <w:numFmt w:val="bullet"/>
      <w:lvlText w:val=""/>
      <w:lvlJc w:val="left"/>
      <w:pPr>
        <w:ind w:left="1080" w:hanging="360"/>
      </w:pPr>
      <w:rPr>
        <w:rFonts w:ascii="Symbol" w:hAnsi="Symbol" w:hint="default"/>
        <w:color w:val="auto"/>
      </w:rPr>
    </w:lvl>
    <w:lvl w:ilvl="1" w:tplc="0809000F">
      <w:start w:val="1"/>
      <w:numFmt w:val="decimal"/>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BF61AAC"/>
    <w:multiLevelType w:val="hybridMultilevel"/>
    <w:tmpl w:val="FA1004B4"/>
    <w:lvl w:ilvl="0" w:tplc="0AAA758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E0922BB"/>
    <w:multiLevelType w:val="hybridMultilevel"/>
    <w:tmpl w:val="B464E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F066608"/>
    <w:multiLevelType w:val="hybridMultilevel"/>
    <w:tmpl w:val="239A43BE"/>
    <w:lvl w:ilvl="0" w:tplc="35009366">
      <w:start w:val="1"/>
      <w:numFmt w:val="decimal"/>
      <w:lvlText w:val="%1."/>
      <w:lvlJc w:val="left"/>
      <w:pPr>
        <w:ind w:left="360" w:hanging="360"/>
      </w:pPr>
      <w:rPr>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5E02E4D"/>
    <w:multiLevelType w:val="hybridMultilevel"/>
    <w:tmpl w:val="09F8C1D6"/>
    <w:lvl w:ilvl="0" w:tplc="08090019">
      <w:start w:val="1"/>
      <w:numFmt w:val="lowerLetter"/>
      <w:lvlText w:val="%1."/>
      <w:lvlJc w:val="left"/>
      <w:pPr>
        <w:ind w:left="1080" w:hanging="360"/>
      </w:pPr>
      <w:rPr>
        <w:rFonts w:hint="default"/>
        <w:color w:val="auto"/>
      </w:rPr>
    </w:lvl>
    <w:lvl w:ilvl="1" w:tplc="0809000F">
      <w:start w:val="1"/>
      <w:numFmt w:val="decimal"/>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6E26E0F"/>
    <w:multiLevelType w:val="hybridMultilevel"/>
    <w:tmpl w:val="357A1548"/>
    <w:lvl w:ilvl="0" w:tplc="08090019">
      <w:start w:val="1"/>
      <w:numFmt w:val="lowerLetter"/>
      <w:lvlText w:val="%1."/>
      <w:lvlJc w:val="left"/>
      <w:pPr>
        <w:ind w:left="1424" w:hanging="360"/>
      </w:pPr>
    </w:lvl>
    <w:lvl w:ilvl="1" w:tplc="08090019" w:tentative="1">
      <w:start w:val="1"/>
      <w:numFmt w:val="lowerLetter"/>
      <w:lvlText w:val="%2."/>
      <w:lvlJc w:val="left"/>
      <w:pPr>
        <w:ind w:left="2144" w:hanging="360"/>
      </w:pPr>
    </w:lvl>
    <w:lvl w:ilvl="2" w:tplc="0809001B" w:tentative="1">
      <w:start w:val="1"/>
      <w:numFmt w:val="lowerRoman"/>
      <w:lvlText w:val="%3."/>
      <w:lvlJc w:val="right"/>
      <w:pPr>
        <w:ind w:left="2864" w:hanging="180"/>
      </w:pPr>
    </w:lvl>
    <w:lvl w:ilvl="3" w:tplc="0809000F" w:tentative="1">
      <w:start w:val="1"/>
      <w:numFmt w:val="decimal"/>
      <w:lvlText w:val="%4."/>
      <w:lvlJc w:val="left"/>
      <w:pPr>
        <w:ind w:left="3584" w:hanging="360"/>
      </w:pPr>
    </w:lvl>
    <w:lvl w:ilvl="4" w:tplc="08090019" w:tentative="1">
      <w:start w:val="1"/>
      <w:numFmt w:val="lowerLetter"/>
      <w:lvlText w:val="%5."/>
      <w:lvlJc w:val="left"/>
      <w:pPr>
        <w:ind w:left="4304" w:hanging="360"/>
      </w:pPr>
    </w:lvl>
    <w:lvl w:ilvl="5" w:tplc="0809001B" w:tentative="1">
      <w:start w:val="1"/>
      <w:numFmt w:val="lowerRoman"/>
      <w:lvlText w:val="%6."/>
      <w:lvlJc w:val="right"/>
      <w:pPr>
        <w:ind w:left="5024" w:hanging="180"/>
      </w:pPr>
    </w:lvl>
    <w:lvl w:ilvl="6" w:tplc="0809000F" w:tentative="1">
      <w:start w:val="1"/>
      <w:numFmt w:val="decimal"/>
      <w:lvlText w:val="%7."/>
      <w:lvlJc w:val="left"/>
      <w:pPr>
        <w:ind w:left="5744" w:hanging="360"/>
      </w:pPr>
    </w:lvl>
    <w:lvl w:ilvl="7" w:tplc="08090019" w:tentative="1">
      <w:start w:val="1"/>
      <w:numFmt w:val="lowerLetter"/>
      <w:lvlText w:val="%8."/>
      <w:lvlJc w:val="left"/>
      <w:pPr>
        <w:ind w:left="6464" w:hanging="360"/>
      </w:pPr>
    </w:lvl>
    <w:lvl w:ilvl="8" w:tplc="0809001B" w:tentative="1">
      <w:start w:val="1"/>
      <w:numFmt w:val="lowerRoman"/>
      <w:lvlText w:val="%9."/>
      <w:lvlJc w:val="right"/>
      <w:pPr>
        <w:ind w:left="7184" w:hanging="180"/>
      </w:pPr>
    </w:lvl>
  </w:abstractNum>
  <w:abstractNum w:abstractNumId="18">
    <w:nsid w:val="640F6156"/>
    <w:multiLevelType w:val="hybridMultilevel"/>
    <w:tmpl w:val="B5A85B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AED60EA"/>
    <w:multiLevelType w:val="hybridMultilevel"/>
    <w:tmpl w:val="67AED48A"/>
    <w:lvl w:ilvl="0" w:tplc="08090017">
      <w:start w:val="1"/>
      <w:numFmt w:val="lowerLetter"/>
      <w:lvlText w:val="%1)"/>
      <w:lvlJc w:val="left"/>
      <w:pPr>
        <w:ind w:left="720" w:hanging="360"/>
      </w:pPr>
      <w:rPr>
        <w:color w:val="auto"/>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B0201D9"/>
    <w:multiLevelType w:val="hybridMultilevel"/>
    <w:tmpl w:val="1352A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BAF702B"/>
    <w:multiLevelType w:val="hybridMultilevel"/>
    <w:tmpl w:val="11F65ECC"/>
    <w:lvl w:ilvl="0" w:tplc="0E30AA02">
      <w:start w:val="1"/>
      <w:numFmt w:val="lowerLetter"/>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EA26E5C"/>
    <w:multiLevelType w:val="hybridMultilevel"/>
    <w:tmpl w:val="FD402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ED91DA7"/>
    <w:multiLevelType w:val="hybridMultilevel"/>
    <w:tmpl w:val="8F507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23"/>
  </w:num>
  <w:num w:numId="3">
    <w:abstractNumId w:val="20"/>
  </w:num>
  <w:num w:numId="4">
    <w:abstractNumId w:val="17"/>
  </w:num>
  <w:num w:numId="5">
    <w:abstractNumId w:val="12"/>
  </w:num>
  <w:num w:numId="6">
    <w:abstractNumId w:val="4"/>
  </w:num>
  <w:num w:numId="7">
    <w:abstractNumId w:val="15"/>
  </w:num>
  <w:num w:numId="8">
    <w:abstractNumId w:val="16"/>
  </w:num>
  <w:num w:numId="9">
    <w:abstractNumId w:val="7"/>
  </w:num>
  <w:num w:numId="10">
    <w:abstractNumId w:val="8"/>
  </w:num>
  <w:num w:numId="11">
    <w:abstractNumId w:val="1"/>
  </w:num>
  <w:num w:numId="12">
    <w:abstractNumId w:val="18"/>
  </w:num>
  <w:num w:numId="13">
    <w:abstractNumId w:val="21"/>
  </w:num>
  <w:num w:numId="14">
    <w:abstractNumId w:val="2"/>
  </w:num>
  <w:num w:numId="15">
    <w:abstractNumId w:val="6"/>
  </w:num>
  <w:num w:numId="16">
    <w:abstractNumId w:val="22"/>
  </w:num>
  <w:num w:numId="17">
    <w:abstractNumId w:val="14"/>
  </w:num>
  <w:num w:numId="18">
    <w:abstractNumId w:val="19"/>
  </w:num>
  <w:num w:numId="19">
    <w:abstractNumId w:val="3"/>
  </w:num>
  <w:num w:numId="20">
    <w:abstractNumId w:val="5"/>
  </w:num>
  <w:num w:numId="21">
    <w:abstractNumId w:val="13"/>
  </w:num>
  <w:num w:numId="22">
    <w:abstractNumId w:val="10"/>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E8"/>
    <w:rsid w:val="000024CA"/>
    <w:rsid w:val="000512B5"/>
    <w:rsid w:val="000E128E"/>
    <w:rsid w:val="00144E90"/>
    <w:rsid w:val="00167898"/>
    <w:rsid w:val="001A10CC"/>
    <w:rsid w:val="001E13FB"/>
    <w:rsid w:val="001F0059"/>
    <w:rsid w:val="0025615E"/>
    <w:rsid w:val="00262BFE"/>
    <w:rsid w:val="0029202A"/>
    <w:rsid w:val="002A3D53"/>
    <w:rsid w:val="002C4058"/>
    <w:rsid w:val="002D1498"/>
    <w:rsid w:val="002E3CF2"/>
    <w:rsid w:val="002F0A38"/>
    <w:rsid w:val="00352692"/>
    <w:rsid w:val="003605D6"/>
    <w:rsid w:val="0038415B"/>
    <w:rsid w:val="003B7218"/>
    <w:rsid w:val="003D449C"/>
    <w:rsid w:val="00497C7D"/>
    <w:rsid w:val="004C14CE"/>
    <w:rsid w:val="004D66F3"/>
    <w:rsid w:val="004F2194"/>
    <w:rsid w:val="0054625C"/>
    <w:rsid w:val="00546848"/>
    <w:rsid w:val="0055223B"/>
    <w:rsid w:val="00592111"/>
    <w:rsid w:val="005E6A6F"/>
    <w:rsid w:val="00611543"/>
    <w:rsid w:val="006B627D"/>
    <w:rsid w:val="006C7146"/>
    <w:rsid w:val="00724BB3"/>
    <w:rsid w:val="00755DAC"/>
    <w:rsid w:val="00757BC4"/>
    <w:rsid w:val="007A374E"/>
    <w:rsid w:val="007B12AF"/>
    <w:rsid w:val="008011DD"/>
    <w:rsid w:val="008334F7"/>
    <w:rsid w:val="00841ACC"/>
    <w:rsid w:val="008A14E8"/>
    <w:rsid w:val="008D5C00"/>
    <w:rsid w:val="008E6311"/>
    <w:rsid w:val="0091680C"/>
    <w:rsid w:val="009438E3"/>
    <w:rsid w:val="009B021D"/>
    <w:rsid w:val="009C48E2"/>
    <w:rsid w:val="00A21842"/>
    <w:rsid w:val="00AA42D7"/>
    <w:rsid w:val="00AD28DD"/>
    <w:rsid w:val="00B03512"/>
    <w:rsid w:val="00B11F3D"/>
    <w:rsid w:val="00B3667C"/>
    <w:rsid w:val="00B769AA"/>
    <w:rsid w:val="00BD49C4"/>
    <w:rsid w:val="00C25B43"/>
    <w:rsid w:val="00C313BB"/>
    <w:rsid w:val="00C67BB7"/>
    <w:rsid w:val="00CD122C"/>
    <w:rsid w:val="00CF5039"/>
    <w:rsid w:val="00D16A7B"/>
    <w:rsid w:val="00D626BA"/>
    <w:rsid w:val="00D72F3B"/>
    <w:rsid w:val="00DA4DC1"/>
    <w:rsid w:val="00DD5446"/>
    <w:rsid w:val="00E230CB"/>
    <w:rsid w:val="00E35E21"/>
    <w:rsid w:val="00E657AD"/>
    <w:rsid w:val="00EE1BD5"/>
    <w:rsid w:val="00EF16B7"/>
    <w:rsid w:val="00F25C81"/>
    <w:rsid w:val="00F35ABF"/>
    <w:rsid w:val="00F459B2"/>
    <w:rsid w:val="00F468BC"/>
    <w:rsid w:val="00F6579F"/>
    <w:rsid w:val="00F714FD"/>
    <w:rsid w:val="00F96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14E8"/>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1DD"/>
    <w:pPr>
      <w:ind w:left="720"/>
      <w:contextualSpacing/>
    </w:pPr>
  </w:style>
  <w:style w:type="paragraph" w:styleId="Header">
    <w:name w:val="header"/>
    <w:basedOn w:val="Normal"/>
    <w:link w:val="HeaderChar"/>
    <w:uiPriority w:val="99"/>
    <w:unhideWhenUsed/>
    <w:rsid w:val="00E657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7AD"/>
  </w:style>
  <w:style w:type="paragraph" w:styleId="Footer">
    <w:name w:val="footer"/>
    <w:basedOn w:val="Normal"/>
    <w:link w:val="FooterChar"/>
    <w:uiPriority w:val="99"/>
    <w:unhideWhenUsed/>
    <w:rsid w:val="00E657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7AD"/>
  </w:style>
  <w:style w:type="paragraph" w:styleId="BalloonText">
    <w:name w:val="Balloon Text"/>
    <w:basedOn w:val="Normal"/>
    <w:link w:val="BalloonTextChar"/>
    <w:uiPriority w:val="99"/>
    <w:semiHidden/>
    <w:unhideWhenUsed/>
    <w:rsid w:val="00E65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AD"/>
    <w:rPr>
      <w:rFonts w:ascii="Tahoma" w:hAnsi="Tahoma" w:cs="Tahoma"/>
      <w:sz w:val="16"/>
      <w:szCs w:val="16"/>
    </w:rPr>
  </w:style>
  <w:style w:type="character" w:styleId="Hyperlink">
    <w:name w:val="Hyperlink"/>
    <w:basedOn w:val="DefaultParagraphFont"/>
    <w:uiPriority w:val="99"/>
    <w:unhideWhenUsed/>
    <w:rsid w:val="001A10CC"/>
    <w:rPr>
      <w:color w:val="0000FF" w:themeColor="hyperlink"/>
      <w:u w:val="single"/>
    </w:rPr>
  </w:style>
  <w:style w:type="paragraph" w:customStyle="1" w:styleId="Default">
    <w:name w:val="Default"/>
    <w:rsid w:val="002E3CF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41ACC"/>
    <w:rPr>
      <w:sz w:val="16"/>
      <w:szCs w:val="16"/>
    </w:rPr>
  </w:style>
  <w:style w:type="paragraph" w:styleId="CommentText">
    <w:name w:val="annotation text"/>
    <w:basedOn w:val="Normal"/>
    <w:link w:val="CommentTextChar"/>
    <w:uiPriority w:val="99"/>
    <w:semiHidden/>
    <w:unhideWhenUsed/>
    <w:rsid w:val="00841ACC"/>
    <w:pPr>
      <w:spacing w:line="240" w:lineRule="auto"/>
    </w:pPr>
    <w:rPr>
      <w:sz w:val="20"/>
      <w:szCs w:val="20"/>
    </w:rPr>
  </w:style>
  <w:style w:type="character" w:customStyle="1" w:styleId="CommentTextChar">
    <w:name w:val="Comment Text Char"/>
    <w:basedOn w:val="DefaultParagraphFont"/>
    <w:link w:val="CommentText"/>
    <w:uiPriority w:val="99"/>
    <w:semiHidden/>
    <w:rsid w:val="00841ACC"/>
    <w:rPr>
      <w:sz w:val="20"/>
      <w:szCs w:val="20"/>
    </w:rPr>
  </w:style>
  <w:style w:type="paragraph" w:styleId="CommentSubject">
    <w:name w:val="annotation subject"/>
    <w:basedOn w:val="CommentText"/>
    <w:next w:val="CommentText"/>
    <w:link w:val="CommentSubjectChar"/>
    <w:uiPriority w:val="99"/>
    <w:semiHidden/>
    <w:unhideWhenUsed/>
    <w:rsid w:val="00841ACC"/>
    <w:rPr>
      <w:b/>
      <w:bCs/>
    </w:rPr>
  </w:style>
  <w:style w:type="character" w:customStyle="1" w:styleId="CommentSubjectChar">
    <w:name w:val="Comment Subject Char"/>
    <w:basedOn w:val="CommentTextChar"/>
    <w:link w:val="CommentSubject"/>
    <w:uiPriority w:val="99"/>
    <w:semiHidden/>
    <w:rsid w:val="00841AC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14E8"/>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1DD"/>
    <w:pPr>
      <w:ind w:left="720"/>
      <w:contextualSpacing/>
    </w:pPr>
  </w:style>
  <w:style w:type="paragraph" w:styleId="Header">
    <w:name w:val="header"/>
    <w:basedOn w:val="Normal"/>
    <w:link w:val="HeaderChar"/>
    <w:uiPriority w:val="99"/>
    <w:unhideWhenUsed/>
    <w:rsid w:val="00E657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7AD"/>
  </w:style>
  <w:style w:type="paragraph" w:styleId="Footer">
    <w:name w:val="footer"/>
    <w:basedOn w:val="Normal"/>
    <w:link w:val="FooterChar"/>
    <w:uiPriority w:val="99"/>
    <w:unhideWhenUsed/>
    <w:rsid w:val="00E657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7AD"/>
  </w:style>
  <w:style w:type="paragraph" w:styleId="BalloonText">
    <w:name w:val="Balloon Text"/>
    <w:basedOn w:val="Normal"/>
    <w:link w:val="BalloonTextChar"/>
    <w:uiPriority w:val="99"/>
    <w:semiHidden/>
    <w:unhideWhenUsed/>
    <w:rsid w:val="00E65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AD"/>
    <w:rPr>
      <w:rFonts w:ascii="Tahoma" w:hAnsi="Tahoma" w:cs="Tahoma"/>
      <w:sz w:val="16"/>
      <w:szCs w:val="16"/>
    </w:rPr>
  </w:style>
  <w:style w:type="character" w:styleId="Hyperlink">
    <w:name w:val="Hyperlink"/>
    <w:basedOn w:val="DefaultParagraphFont"/>
    <w:uiPriority w:val="99"/>
    <w:unhideWhenUsed/>
    <w:rsid w:val="001A10CC"/>
    <w:rPr>
      <w:color w:val="0000FF" w:themeColor="hyperlink"/>
      <w:u w:val="single"/>
    </w:rPr>
  </w:style>
  <w:style w:type="paragraph" w:customStyle="1" w:styleId="Default">
    <w:name w:val="Default"/>
    <w:rsid w:val="002E3CF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41ACC"/>
    <w:rPr>
      <w:sz w:val="16"/>
      <w:szCs w:val="16"/>
    </w:rPr>
  </w:style>
  <w:style w:type="paragraph" w:styleId="CommentText">
    <w:name w:val="annotation text"/>
    <w:basedOn w:val="Normal"/>
    <w:link w:val="CommentTextChar"/>
    <w:uiPriority w:val="99"/>
    <w:semiHidden/>
    <w:unhideWhenUsed/>
    <w:rsid w:val="00841ACC"/>
    <w:pPr>
      <w:spacing w:line="240" w:lineRule="auto"/>
    </w:pPr>
    <w:rPr>
      <w:sz w:val="20"/>
      <w:szCs w:val="20"/>
    </w:rPr>
  </w:style>
  <w:style w:type="character" w:customStyle="1" w:styleId="CommentTextChar">
    <w:name w:val="Comment Text Char"/>
    <w:basedOn w:val="DefaultParagraphFont"/>
    <w:link w:val="CommentText"/>
    <w:uiPriority w:val="99"/>
    <w:semiHidden/>
    <w:rsid w:val="00841ACC"/>
    <w:rPr>
      <w:sz w:val="20"/>
      <w:szCs w:val="20"/>
    </w:rPr>
  </w:style>
  <w:style w:type="paragraph" w:styleId="CommentSubject">
    <w:name w:val="annotation subject"/>
    <w:basedOn w:val="CommentText"/>
    <w:next w:val="CommentText"/>
    <w:link w:val="CommentSubjectChar"/>
    <w:uiPriority w:val="99"/>
    <w:semiHidden/>
    <w:unhideWhenUsed/>
    <w:rsid w:val="00841ACC"/>
    <w:rPr>
      <w:b/>
      <w:bCs/>
    </w:rPr>
  </w:style>
  <w:style w:type="character" w:customStyle="1" w:styleId="CommentSubjectChar">
    <w:name w:val="Comment Subject Char"/>
    <w:basedOn w:val="CommentTextChar"/>
    <w:link w:val="CommentSubject"/>
    <w:uiPriority w:val="99"/>
    <w:semiHidden/>
    <w:rsid w:val="00841A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ards_monitoringofficer@oxford.gov.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phythian@oxford.gov.uk" TargetMode="External"/><Relationship Id="rId4" Type="http://schemas.openxmlformats.org/officeDocument/2006/relationships/settings" Target="settings.xml"/><Relationship Id="rId9" Type="http://schemas.openxmlformats.org/officeDocument/2006/relationships/hyperlink" Target="mailto:standards@oxford.gov.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8BADEF94</Template>
  <TotalTime>12</TotalTime>
  <Pages>8</Pages>
  <Words>2341</Words>
  <Characters>13346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cphythian</dc:creator>
  <cp:lastModifiedBy>abrown2</cp:lastModifiedBy>
  <cp:revision>6</cp:revision>
  <dcterms:created xsi:type="dcterms:W3CDTF">2019-02-13T15:05:00Z</dcterms:created>
  <dcterms:modified xsi:type="dcterms:W3CDTF">2019-02-15T16:34:00Z</dcterms:modified>
</cp:coreProperties>
</file>